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0"/>
          <w:szCs w:val="30"/>
        </w:rPr>
        <w:t>附件2：</w:t>
      </w:r>
    </w:p>
    <w:p>
      <w:pPr>
        <w:jc w:val="center"/>
        <w:rPr>
          <w:rFonts w:ascii="方正小标宋_GBK" w:hAnsi="黑体" w:eastAsia="方正小标宋_GBK"/>
          <w:sz w:val="30"/>
          <w:szCs w:val="30"/>
        </w:rPr>
      </w:pPr>
      <w:r>
        <w:rPr>
          <w:rFonts w:hint="eastAsia" w:ascii="方正小标宋_GBK" w:hAnsi="宋体" w:eastAsia="方正小标宋_GBK"/>
          <w:bCs/>
          <w:sz w:val="30"/>
          <w:szCs w:val="30"/>
        </w:rPr>
        <w:t>评审方法及评分标准</w:t>
      </w:r>
    </w:p>
    <w:p>
      <w:pPr>
        <w:rPr>
          <w:rFonts w:ascii="宋体" w:hAnsi="宋体" w:eastAsia="宋体"/>
          <w:b/>
          <w:bCs/>
          <w:sz w:val="24"/>
          <w:szCs w:val="21"/>
        </w:rPr>
      </w:pPr>
      <w:r>
        <w:rPr>
          <w:rFonts w:hint="eastAsia" w:ascii="宋体" w:hAnsi="宋体" w:eastAsia="宋体"/>
          <w:b/>
          <w:bCs/>
          <w:sz w:val="24"/>
          <w:szCs w:val="21"/>
        </w:rPr>
        <w:t>一、评审方法</w:t>
      </w:r>
    </w:p>
    <w:p>
      <w:pPr>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次服务采购评审采用综合评分法，即响应文件满足服务采购需求全部实质性要求且按评审因素的量化指标进行评审。采购小组根据综合评分情况，按照评审得分由高到底顺序推荐3名成交候选供应商;评审得分相同的，按照最后报价由低到高的顺序推荐</w:t>
      </w:r>
      <w:r>
        <w:rPr>
          <w:rFonts w:hint="eastAsia" w:ascii="Times New Roman" w:hAnsi="Times New Roman" w:eastAsia="宋体" w:cs="Times New Roman"/>
          <w:sz w:val="24"/>
          <w:szCs w:val="21"/>
        </w:rPr>
        <w:t>；</w:t>
      </w:r>
      <w:r>
        <w:rPr>
          <w:rFonts w:ascii="Times New Roman" w:hAnsi="Times New Roman" w:eastAsia="宋体" w:cs="Times New Roman"/>
          <w:sz w:val="24"/>
          <w:szCs w:val="21"/>
        </w:rPr>
        <w:t>评审得分且最后报价相同的，按照技术指标优劣顺序推荐。</w:t>
      </w:r>
    </w:p>
    <w:p>
      <w:pPr>
        <w:widowControl/>
        <w:spacing w:line="312" w:lineRule="auto"/>
        <w:jc w:val="left"/>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二、评分标准</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1200"/>
        <w:gridCol w:w="5836"/>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4" w:type="dxa"/>
            <w:vAlign w:val="center"/>
          </w:tcPr>
          <w:p>
            <w:pPr>
              <w:widowControl/>
              <w:spacing w:line="312" w:lineRule="auto"/>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200" w:type="dxa"/>
            <w:vAlign w:val="center"/>
          </w:tcPr>
          <w:p>
            <w:pPr>
              <w:widowControl/>
              <w:spacing w:line="312" w:lineRule="auto"/>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评审因素</w:t>
            </w:r>
          </w:p>
        </w:tc>
        <w:tc>
          <w:tcPr>
            <w:tcW w:w="5836" w:type="dxa"/>
            <w:vAlign w:val="center"/>
          </w:tcPr>
          <w:p>
            <w:pPr>
              <w:widowControl/>
              <w:spacing w:line="312" w:lineRule="auto"/>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评审细则</w:t>
            </w:r>
          </w:p>
        </w:tc>
        <w:tc>
          <w:tcPr>
            <w:tcW w:w="639" w:type="dxa"/>
            <w:vAlign w:val="center"/>
          </w:tcPr>
          <w:p>
            <w:pPr>
              <w:widowControl/>
              <w:spacing w:line="312" w:lineRule="auto"/>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0"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价格</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价格分采用低价优先法，报价满足采购要求且报价最低为评标基准价，其价格分为满分，其他供应商的价格分按照下列公式计算：</w:t>
            </w:r>
          </w:p>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报价得分 </w:t>
            </w:r>
            <w:r>
              <w:rPr>
                <w:rFonts w:ascii="Times New Roman" w:hAnsi="Times New Roman" w:eastAsia="仿宋_GB2312" w:cs="Times New Roman"/>
                <w:sz w:val="24"/>
                <w:szCs w:val="24"/>
              </w:rPr>
              <w:t>=（基准价</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供应商报价）× 10</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0"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信息技术服务资质</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供应商具有有效期内的信息系统建设和服务能力等级</w:t>
            </w:r>
            <w:r>
              <w:rPr>
                <w:rFonts w:ascii="Times New Roman" w:hAnsi="Times New Roman" w:eastAsia="仿宋_GB2312" w:cs="Times New Roman"/>
                <w:sz w:val="24"/>
                <w:szCs w:val="24"/>
              </w:rPr>
              <w:t>CS3证书得2分，C4级及以上的证书得4分、</w:t>
            </w:r>
            <w:r>
              <w:rPr>
                <w:rFonts w:hint="eastAsia" w:ascii="Times New Roman" w:hAnsi="Times New Roman" w:eastAsia="仿宋_GB2312" w:cs="Times New Roman"/>
                <w:sz w:val="24"/>
                <w:szCs w:val="24"/>
              </w:rPr>
              <w:t>信息技术服务运行维护服务能力成熟度符合性(ITSS运维资质)证书三级得1分，二级及以上的证书得2分</w:t>
            </w:r>
            <w:r>
              <w:rPr>
                <w:rFonts w:ascii="Times New Roman" w:hAnsi="Times New Roman" w:eastAsia="仿宋_GB2312" w:cs="Times New Roman"/>
                <w:sz w:val="24"/>
                <w:szCs w:val="24"/>
              </w:rPr>
              <w:t>、信息安全管理体系认证证书得2分，本项最高得9分。(提供相关证书复印件，未提供不得分)</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200"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项目人员资格</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项目组具备高级网络规划设计师</w:t>
            </w:r>
            <w:r>
              <w:rPr>
                <w:rFonts w:ascii="Times New Roman" w:hAnsi="Times New Roman" w:eastAsia="仿宋_GB2312" w:cs="Times New Roman"/>
                <w:sz w:val="24"/>
                <w:szCs w:val="24"/>
              </w:rPr>
              <w:t>2名，中级及以上的网络工程师2名，IT服务工程师2名，每提供一个得2分，最高得12分。(提供项目人员与</w:t>
            </w:r>
            <w:r>
              <w:rPr>
                <w:rFonts w:hint="eastAsia" w:ascii="Times New Roman" w:hAnsi="Times New Roman" w:eastAsia="仿宋_GB2312" w:cs="Times New Roman"/>
                <w:sz w:val="24"/>
                <w:szCs w:val="24"/>
              </w:rPr>
              <w:t>相应</w:t>
            </w:r>
            <w:r>
              <w:rPr>
                <w:rFonts w:ascii="Times New Roman" w:hAnsi="Times New Roman" w:eastAsia="仿宋_GB2312" w:cs="Times New Roman"/>
                <w:sz w:val="24"/>
                <w:szCs w:val="24"/>
              </w:rPr>
              <w:t>近</w:t>
            </w:r>
            <w:r>
              <w:rPr>
                <w:rFonts w:hint="eastAsia" w:ascii="Times New Roman" w:hAnsi="Times New Roman" w:eastAsia="仿宋_GB2312" w:cs="Times New Roman"/>
                <w:sz w:val="24"/>
                <w:szCs w:val="24"/>
              </w:rPr>
              <w:t>半年</w:t>
            </w:r>
            <w:r>
              <w:rPr>
                <w:rFonts w:ascii="Times New Roman" w:hAnsi="Times New Roman" w:eastAsia="仿宋_GB2312" w:cs="Times New Roman"/>
                <w:sz w:val="24"/>
                <w:szCs w:val="24"/>
              </w:rPr>
              <w:t>社保缴费</w:t>
            </w:r>
            <w:r>
              <w:rPr>
                <w:rFonts w:hint="eastAsia" w:ascii="Times New Roman" w:hAnsi="Times New Roman" w:eastAsia="仿宋_GB2312" w:cs="Times New Roman"/>
                <w:sz w:val="24"/>
                <w:szCs w:val="24"/>
              </w:rPr>
              <w:t>记录</w:t>
            </w:r>
            <w:r>
              <w:rPr>
                <w:rFonts w:ascii="Times New Roman" w:hAnsi="Times New Roman" w:eastAsia="仿宋_GB2312" w:cs="Times New Roman"/>
                <w:sz w:val="24"/>
                <w:szCs w:val="24"/>
              </w:rPr>
              <w:t>，否则不得分)</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200"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案例</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供应商提供自2</w:t>
            </w:r>
            <w:r>
              <w:rPr>
                <w:rFonts w:ascii="Times New Roman" w:hAnsi="Times New Roman" w:eastAsia="仿宋_GB2312" w:cs="Times New Roman"/>
                <w:sz w:val="24"/>
                <w:szCs w:val="24"/>
              </w:rPr>
              <w:t>02</w:t>
            </w:r>
            <w:r>
              <w:rPr>
                <w:rFonts w:hint="eastAsia"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rPr>
              <w:t>年以来与本次运维项目相关案例，合同金额不低于3</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万。每提供一个运维服务项目合同得</w:t>
            </w:r>
            <w:r>
              <w:rPr>
                <w:rFonts w:ascii="Times New Roman" w:hAnsi="Times New Roman" w:eastAsia="仿宋_GB2312" w:cs="Times New Roman"/>
                <w:sz w:val="24"/>
                <w:szCs w:val="24"/>
              </w:rPr>
              <w:t>2分，最高得6分，未按要求提供的不得分。（提供有效合同复印件并加盖供应商公章）</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200" w:type="dxa"/>
            <w:vAlign w:val="center"/>
          </w:tcPr>
          <w:p>
            <w:pPr>
              <w:widowControl/>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运维服务方案</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（1）需求分析：对采购人现状及业务、技术需求有充分认识和理解，对运维服务要求有效应对措施的，优得1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分，良得6分，内容缺失不得分。</w:t>
            </w:r>
          </w:p>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（2）日常运维方案：方案设计科学全面，能够针对本项目需求提出细化服务内容，服务流程设计合理，具有技术人员配备和管理方案，优得</w:t>
            </w: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分，良得4分，一般得2分，内容缺失不得分。</w:t>
            </w:r>
          </w:p>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（3）巡检方案：方案设计精细化，巡检程序规范，人员安排合理，提供巡检报告，优得</w:t>
            </w: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分，良得4分，，一般得2分，内容缺失不得分。</w:t>
            </w:r>
          </w:p>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（4）应急处置方案：方案设计周全细致，可根据不同事件类型、不同风险等级提出对应措施，优得</w:t>
            </w:r>
            <w:r>
              <w:rPr>
                <w:rFonts w:ascii="Times New Roman" w:hAnsi="Times New Roman" w:eastAsia="仿宋_GB2312" w:cs="Times New Roman"/>
                <w:sz w:val="24"/>
                <w:szCs w:val="24"/>
              </w:rPr>
              <w:t>8分，良得</w:t>
            </w: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分，一般得</w:t>
            </w: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分，</w:t>
            </w:r>
            <w:r>
              <w:rPr>
                <w:rFonts w:hint="eastAsia" w:ascii="Times New Roman" w:hAnsi="Times New Roman" w:eastAsia="仿宋_GB2312" w:cs="Times New Roman"/>
                <w:sz w:val="24"/>
                <w:szCs w:val="24"/>
              </w:rPr>
              <w:t>内容缺失</w:t>
            </w:r>
            <w:r>
              <w:rPr>
                <w:rFonts w:ascii="Times New Roman" w:hAnsi="Times New Roman" w:eastAsia="仿宋_GB2312" w:cs="Times New Roman"/>
                <w:sz w:val="24"/>
                <w:szCs w:val="24"/>
              </w:rPr>
              <w:t>或与项目</w:t>
            </w:r>
            <w:r>
              <w:rPr>
                <w:rFonts w:hint="eastAsia" w:ascii="Times New Roman" w:hAnsi="Times New Roman" w:eastAsia="仿宋_GB2312" w:cs="Times New Roman"/>
                <w:sz w:val="24"/>
                <w:szCs w:val="24"/>
              </w:rPr>
              <w:t>情况</w:t>
            </w:r>
            <w:r>
              <w:rPr>
                <w:rFonts w:ascii="Times New Roman" w:hAnsi="Times New Roman" w:eastAsia="仿宋_GB2312" w:cs="Times New Roman"/>
                <w:sz w:val="24"/>
                <w:szCs w:val="24"/>
              </w:rPr>
              <w:t>不符</w:t>
            </w:r>
            <w:r>
              <w:rPr>
                <w:rFonts w:hint="eastAsia" w:ascii="Times New Roman" w:hAnsi="Times New Roman" w:eastAsia="仿宋_GB2312" w:cs="Times New Roman"/>
                <w:sz w:val="24"/>
                <w:szCs w:val="24"/>
              </w:rPr>
              <w:t>不得分</w:t>
            </w:r>
            <w:r>
              <w:rPr>
                <w:rFonts w:ascii="Times New Roman" w:hAnsi="Times New Roman" w:eastAsia="仿宋_GB2312" w:cs="Times New Roman"/>
                <w:sz w:val="24"/>
                <w:szCs w:val="24"/>
              </w:rPr>
              <w:t>。</w:t>
            </w:r>
          </w:p>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（5）根据采购要求，提交对应工作方案：方案内容秉持可操作性、规范性、实用性原则，优得</w:t>
            </w: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分，良得</w:t>
            </w: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分</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内容缺失</w:t>
            </w:r>
            <w:r>
              <w:rPr>
                <w:rFonts w:ascii="Times New Roman" w:hAnsi="Times New Roman" w:eastAsia="仿宋_GB2312" w:cs="Times New Roman"/>
                <w:sz w:val="24"/>
                <w:szCs w:val="24"/>
              </w:rPr>
              <w:t>或与项目</w:t>
            </w:r>
            <w:r>
              <w:rPr>
                <w:rFonts w:hint="eastAsia" w:ascii="Times New Roman" w:hAnsi="Times New Roman" w:eastAsia="仿宋_GB2312" w:cs="Times New Roman"/>
                <w:sz w:val="24"/>
                <w:szCs w:val="24"/>
              </w:rPr>
              <w:t>情况</w:t>
            </w:r>
            <w:r>
              <w:rPr>
                <w:rFonts w:ascii="Times New Roman" w:hAnsi="Times New Roman" w:eastAsia="仿宋_GB2312" w:cs="Times New Roman"/>
                <w:sz w:val="24"/>
                <w:szCs w:val="24"/>
              </w:rPr>
              <w:t>不符</w:t>
            </w:r>
            <w:r>
              <w:rPr>
                <w:rFonts w:hint="eastAsia" w:ascii="Times New Roman" w:hAnsi="Times New Roman" w:eastAsia="仿宋_GB2312" w:cs="Times New Roman"/>
                <w:sz w:val="24"/>
                <w:szCs w:val="24"/>
              </w:rPr>
              <w:t>不得分</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 xml:space="preserve"> </w:t>
            </w:r>
          </w:p>
        </w:tc>
        <w:tc>
          <w:tcPr>
            <w:tcW w:w="639" w:type="dxa"/>
            <w:vAlign w:val="center"/>
          </w:tcPr>
          <w:p>
            <w:pPr>
              <w:widowControl/>
              <w:spacing w:line="312" w:lineRule="auto"/>
              <w:jc w:val="center"/>
              <w:rPr>
                <w:rFonts w:ascii="Times New Roman" w:hAnsi="Times New Roman" w:eastAsia="仿宋_GB2312" w:cs="Times New Roman"/>
                <w:sz w:val="24"/>
                <w:szCs w:val="24"/>
              </w:rPr>
            </w:pPr>
          </w:p>
          <w:p>
            <w:pPr>
              <w:widowControl/>
              <w:spacing w:line="312" w:lineRule="auto"/>
              <w:jc w:val="center"/>
              <w:rPr>
                <w:rFonts w:ascii="Times New Roman" w:hAnsi="Times New Roman" w:eastAsia="仿宋_GB2312" w:cs="Times New Roman"/>
                <w:sz w:val="24"/>
                <w:szCs w:val="24"/>
              </w:rPr>
            </w:pPr>
          </w:p>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200"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驻场服务</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提供两名全天驻场工程师得</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分；提供一名得</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分，不提供不得分。</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200"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质量和效率保证</w:t>
            </w:r>
          </w:p>
        </w:tc>
        <w:tc>
          <w:tcPr>
            <w:tcW w:w="5836" w:type="dxa"/>
            <w:vAlign w:val="center"/>
          </w:tcPr>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根据响应人提供的服务质量和效率保证体系和措施进行评定，体系和措施内容详细、全面的，得</w:t>
            </w:r>
            <w:r>
              <w:rPr>
                <w:rFonts w:ascii="Times New Roman" w:hAnsi="Times New Roman" w:eastAsia="仿宋_GB2312" w:cs="Times New Roman"/>
                <w:sz w:val="24"/>
                <w:szCs w:val="24"/>
              </w:rPr>
              <w:t>3分，体系和措施内容一般得1分，内容较差</w:t>
            </w:r>
            <w:r>
              <w:rPr>
                <w:rFonts w:hint="eastAsia" w:ascii="Times New Roman" w:hAnsi="Times New Roman" w:eastAsia="仿宋_GB2312" w:cs="Times New Roman"/>
                <w:sz w:val="24"/>
                <w:szCs w:val="24"/>
              </w:rPr>
              <w:t>或缺失不得</w:t>
            </w:r>
            <w:r>
              <w:rPr>
                <w:rFonts w:ascii="Times New Roman" w:hAnsi="Times New Roman" w:eastAsia="仿宋_GB2312" w:cs="Times New Roman"/>
                <w:sz w:val="24"/>
                <w:szCs w:val="24"/>
              </w:rPr>
              <w:t>分。</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720" w:type="dxa"/>
            <w:gridSpan w:val="3"/>
            <w:vAlign w:val="center"/>
          </w:tcPr>
          <w:p>
            <w:pPr>
              <w:widowControl/>
              <w:spacing w:line="312" w:lineRule="auto"/>
              <w:ind w:firstLine="240" w:firstLineChars="100"/>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合 计：</w:t>
            </w:r>
          </w:p>
        </w:tc>
        <w:tc>
          <w:tcPr>
            <w:tcW w:w="639" w:type="dxa"/>
            <w:vAlign w:val="center"/>
          </w:tcPr>
          <w:p>
            <w:pPr>
              <w:widowControl/>
              <w:spacing w:line="312"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00</w:t>
            </w:r>
          </w:p>
        </w:tc>
      </w:tr>
    </w:tbl>
    <w:p>
      <w:pPr>
        <w:widowControl/>
        <w:spacing w:line="264"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备注：请按评分项提供相应材料，标注页码。</w:t>
      </w:r>
    </w:p>
    <w:p>
      <w:pPr>
        <w:ind w:firstLine="480" w:firstLineChars="200"/>
        <w:rPr>
          <w:rFonts w:ascii="宋体" w:hAnsi="宋体" w:eastAsia="宋体"/>
          <w:sz w:val="24"/>
          <w:szCs w:val="21"/>
        </w:rPr>
      </w:pPr>
    </w:p>
    <w:p>
      <w:pPr>
        <w:widowControl/>
        <w:jc w:val="left"/>
        <w:rPr>
          <w:rFonts w:hint="eastAsia" w:ascii="宋体" w:hAnsi="宋体" w:eastAsia="宋体"/>
          <w:sz w:val="24"/>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1YjE3MzVmY2FiMjZjNGNmM2IyODVkNDg1YzMxYTEifQ=="/>
  </w:docVars>
  <w:rsids>
    <w:rsidRoot w:val="00AD2C64"/>
    <w:rsid w:val="00000370"/>
    <w:rsid w:val="000133AE"/>
    <w:rsid w:val="0001646F"/>
    <w:rsid w:val="000166D4"/>
    <w:rsid w:val="00016B0A"/>
    <w:rsid w:val="00023AEE"/>
    <w:rsid w:val="00035B03"/>
    <w:rsid w:val="00041084"/>
    <w:rsid w:val="00063456"/>
    <w:rsid w:val="000639E9"/>
    <w:rsid w:val="00067618"/>
    <w:rsid w:val="00075DBC"/>
    <w:rsid w:val="00077964"/>
    <w:rsid w:val="00097E98"/>
    <w:rsid w:val="000A0B9E"/>
    <w:rsid w:val="000A3A6F"/>
    <w:rsid w:val="000A3C59"/>
    <w:rsid w:val="000A3C9D"/>
    <w:rsid w:val="000A7480"/>
    <w:rsid w:val="000B41CD"/>
    <w:rsid w:val="000B60A5"/>
    <w:rsid w:val="000C19F0"/>
    <w:rsid w:val="000C3A41"/>
    <w:rsid w:val="000C440D"/>
    <w:rsid w:val="000D0BE3"/>
    <w:rsid w:val="000D17C2"/>
    <w:rsid w:val="000D2C7D"/>
    <w:rsid w:val="00100F57"/>
    <w:rsid w:val="00105B4A"/>
    <w:rsid w:val="0010608F"/>
    <w:rsid w:val="001159AF"/>
    <w:rsid w:val="00127951"/>
    <w:rsid w:val="00132EC2"/>
    <w:rsid w:val="00133112"/>
    <w:rsid w:val="00133D54"/>
    <w:rsid w:val="001570CE"/>
    <w:rsid w:val="001732B6"/>
    <w:rsid w:val="00173C63"/>
    <w:rsid w:val="001808E8"/>
    <w:rsid w:val="00181BDF"/>
    <w:rsid w:val="00186C00"/>
    <w:rsid w:val="00193DA2"/>
    <w:rsid w:val="00196A2E"/>
    <w:rsid w:val="001976BE"/>
    <w:rsid w:val="001B52CB"/>
    <w:rsid w:val="001D64F3"/>
    <w:rsid w:val="001E3484"/>
    <w:rsid w:val="001E4AE2"/>
    <w:rsid w:val="001E68B4"/>
    <w:rsid w:val="001F2FAC"/>
    <w:rsid w:val="001F792D"/>
    <w:rsid w:val="002060E9"/>
    <w:rsid w:val="002144E6"/>
    <w:rsid w:val="0022429C"/>
    <w:rsid w:val="0022744F"/>
    <w:rsid w:val="002325E3"/>
    <w:rsid w:val="0023418B"/>
    <w:rsid w:val="00234CA7"/>
    <w:rsid w:val="002365A6"/>
    <w:rsid w:val="00240C55"/>
    <w:rsid w:val="002447FA"/>
    <w:rsid w:val="00250AC6"/>
    <w:rsid w:val="002528AE"/>
    <w:rsid w:val="002542AC"/>
    <w:rsid w:val="0027595D"/>
    <w:rsid w:val="00282E9B"/>
    <w:rsid w:val="00287BD0"/>
    <w:rsid w:val="00294C48"/>
    <w:rsid w:val="002B212E"/>
    <w:rsid w:val="002C13F5"/>
    <w:rsid w:val="002C369B"/>
    <w:rsid w:val="002C4889"/>
    <w:rsid w:val="002C68F2"/>
    <w:rsid w:val="002D3D75"/>
    <w:rsid w:val="002E3590"/>
    <w:rsid w:val="002E646D"/>
    <w:rsid w:val="002F4B8A"/>
    <w:rsid w:val="002F712B"/>
    <w:rsid w:val="00302792"/>
    <w:rsid w:val="003063B8"/>
    <w:rsid w:val="0032264D"/>
    <w:rsid w:val="003262C4"/>
    <w:rsid w:val="00334394"/>
    <w:rsid w:val="003356E1"/>
    <w:rsid w:val="00340FBC"/>
    <w:rsid w:val="00344788"/>
    <w:rsid w:val="00345ED3"/>
    <w:rsid w:val="00371013"/>
    <w:rsid w:val="00375152"/>
    <w:rsid w:val="00377FA0"/>
    <w:rsid w:val="003865D3"/>
    <w:rsid w:val="00390D3B"/>
    <w:rsid w:val="00390E68"/>
    <w:rsid w:val="0039690E"/>
    <w:rsid w:val="003A0794"/>
    <w:rsid w:val="003A0908"/>
    <w:rsid w:val="003A3AB3"/>
    <w:rsid w:val="003A7F5A"/>
    <w:rsid w:val="003C1173"/>
    <w:rsid w:val="003C3604"/>
    <w:rsid w:val="003C4DAA"/>
    <w:rsid w:val="003D22A0"/>
    <w:rsid w:val="003E67E0"/>
    <w:rsid w:val="003F49D9"/>
    <w:rsid w:val="00402F3C"/>
    <w:rsid w:val="0043144D"/>
    <w:rsid w:val="00431609"/>
    <w:rsid w:val="00433936"/>
    <w:rsid w:val="00434B07"/>
    <w:rsid w:val="004371BF"/>
    <w:rsid w:val="004520DB"/>
    <w:rsid w:val="00453C4A"/>
    <w:rsid w:val="00482B5D"/>
    <w:rsid w:val="00484708"/>
    <w:rsid w:val="0048505A"/>
    <w:rsid w:val="00494842"/>
    <w:rsid w:val="00497EE6"/>
    <w:rsid w:val="004A7689"/>
    <w:rsid w:val="004A7E9F"/>
    <w:rsid w:val="004B7532"/>
    <w:rsid w:val="004C3285"/>
    <w:rsid w:val="004C4649"/>
    <w:rsid w:val="004D242C"/>
    <w:rsid w:val="004E3AD8"/>
    <w:rsid w:val="005007DF"/>
    <w:rsid w:val="005017E0"/>
    <w:rsid w:val="005025BB"/>
    <w:rsid w:val="005235E5"/>
    <w:rsid w:val="00524E25"/>
    <w:rsid w:val="005261DC"/>
    <w:rsid w:val="00526473"/>
    <w:rsid w:val="0053719D"/>
    <w:rsid w:val="00540011"/>
    <w:rsid w:val="00540C39"/>
    <w:rsid w:val="0056327B"/>
    <w:rsid w:val="00563601"/>
    <w:rsid w:val="00563681"/>
    <w:rsid w:val="00565538"/>
    <w:rsid w:val="00567AAF"/>
    <w:rsid w:val="00577BB7"/>
    <w:rsid w:val="00594F85"/>
    <w:rsid w:val="005A2A6F"/>
    <w:rsid w:val="005A61D6"/>
    <w:rsid w:val="005C074D"/>
    <w:rsid w:val="005C5FCC"/>
    <w:rsid w:val="005C7833"/>
    <w:rsid w:val="005C7F63"/>
    <w:rsid w:val="005D583A"/>
    <w:rsid w:val="006001BA"/>
    <w:rsid w:val="00604C87"/>
    <w:rsid w:val="00604EEA"/>
    <w:rsid w:val="006173E9"/>
    <w:rsid w:val="0062241A"/>
    <w:rsid w:val="00627ABF"/>
    <w:rsid w:val="0063566C"/>
    <w:rsid w:val="0064622E"/>
    <w:rsid w:val="00646412"/>
    <w:rsid w:val="0065087A"/>
    <w:rsid w:val="006538C2"/>
    <w:rsid w:val="006604FD"/>
    <w:rsid w:val="006611AA"/>
    <w:rsid w:val="006744D6"/>
    <w:rsid w:val="00676096"/>
    <w:rsid w:val="006A36B0"/>
    <w:rsid w:val="006B00DB"/>
    <w:rsid w:val="006B40E4"/>
    <w:rsid w:val="006B4153"/>
    <w:rsid w:val="006E1A72"/>
    <w:rsid w:val="006E517D"/>
    <w:rsid w:val="006F12FD"/>
    <w:rsid w:val="006F1803"/>
    <w:rsid w:val="006F3CE4"/>
    <w:rsid w:val="006F46E3"/>
    <w:rsid w:val="006F65DE"/>
    <w:rsid w:val="007009A7"/>
    <w:rsid w:val="0071391A"/>
    <w:rsid w:val="00721CA3"/>
    <w:rsid w:val="00722725"/>
    <w:rsid w:val="00730BD4"/>
    <w:rsid w:val="00736315"/>
    <w:rsid w:val="00736580"/>
    <w:rsid w:val="00743FC0"/>
    <w:rsid w:val="00751C23"/>
    <w:rsid w:val="0078289A"/>
    <w:rsid w:val="007A0C50"/>
    <w:rsid w:val="007A1982"/>
    <w:rsid w:val="007A1BAD"/>
    <w:rsid w:val="007B6F1A"/>
    <w:rsid w:val="007B720D"/>
    <w:rsid w:val="007C5983"/>
    <w:rsid w:val="007D0B11"/>
    <w:rsid w:val="007D4A01"/>
    <w:rsid w:val="007E2D0E"/>
    <w:rsid w:val="0082274E"/>
    <w:rsid w:val="00833478"/>
    <w:rsid w:val="0084442D"/>
    <w:rsid w:val="00844F6A"/>
    <w:rsid w:val="0084635D"/>
    <w:rsid w:val="00851AFC"/>
    <w:rsid w:val="0085581A"/>
    <w:rsid w:val="0086176A"/>
    <w:rsid w:val="008671FD"/>
    <w:rsid w:val="0087259A"/>
    <w:rsid w:val="00880E0A"/>
    <w:rsid w:val="00885710"/>
    <w:rsid w:val="00885A9E"/>
    <w:rsid w:val="00885DDE"/>
    <w:rsid w:val="0088614B"/>
    <w:rsid w:val="0089406A"/>
    <w:rsid w:val="00897A06"/>
    <w:rsid w:val="008A50D9"/>
    <w:rsid w:val="008B0426"/>
    <w:rsid w:val="008B16BC"/>
    <w:rsid w:val="008B66BA"/>
    <w:rsid w:val="008C0CAC"/>
    <w:rsid w:val="008C31A4"/>
    <w:rsid w:val="008C758C"/>
    <w:rsid w:val="008E0C16"/>
    <w:rsid w:val="008E67A0"/>
    <w:rsid w:val="008E6FCA"/>
    <w:rsid w:val="008E75F1"/>
    <w:rsid w:val="008F6B80"/>
    <w:rsid w:val="00901B90"/>
    <w:rsid w:val="00913656"/>
    <w:rsid w:val="00927356"/>
    <w:rsid w:val="00932291"/>
    <w:rsid w:val="009330F0"/>
    <w:rsid w:val="00936CAE"/>
    <w:rsid w:val="00942ABE"/>
    <w:rsid w:val="0094506F"/>
    <w:rsid w:val="00950346"/>
    <w:rsid w:val="00952E28"/>
    <w:rsid w:val="009618FA"/>
    <w:rsid w:val="009747BA"/>
    <w:rsid w:val="00980677"/>
    <w:rsid w:val="00990DF8"/>
    <w:rsid w:val="00992530"/>
    <w:rsid w:val="00995869"/>
    <w:rsid w:val="00995B53"/>
    <w:rsid w:val="009A0D50"/>
    <w:rsid w:val="009B25A2"/>
    <w:rsid w:val="009B5F64"/>
    <w:rsid w:val="009C4BB1"/>
    <w:rsid w:val="009C78B1"/>
    <w:rsid w:val="009F2C13"/>
    <w:rsid w:val="009F3925"/>
    <w:rsid w:val="00A03C01"/>
    <w:rsid w:val="00A0507B"/>
    <w:rsid w:val="00A178AD"/>
    <w:rsid w:val="00A218AF"/>
    <w:rsid w:val="00A360D3"/>
    <w:rsid w:val="00A36DB5"/>
    <w:rsid w:val="00A43228"/>
    <w:rsid w:val="00A719FE"/>
    <w:rsid w:val="00A7796C"/>
    <w:rsid w:val="00A8617A"/>
    <w:rsid w:val="00A869CB"/>
    <w:rsid w:val="00A90795"/>
    <w:rsid w:val="00A918D2"/>
    <w:rsid w:val="00A91D1B"/>
    <w:rsid w:val="00A97ED1"/>
    <w:rsid w:val="00AB3043"/>
    <w:rsid w:val="00AB3FA3"/>
    <w:rsid w:val="00AD2C64"/>
    <w:rsid w:val="00AF2E5D"/>
    <w:rsid w:val="00B00C1D"/>
    <w:rsid w:val="00B020EB"/>
    <w:rsid w:val="00B0653B"/>
    <w:rsid w:val="00B07BE1"/>
    <w:rsid w:val="00B14A74"/>
    <w:rsid w:val="00B154DB"/>
    <w:rsid w:val="00B2571A"/>
    <w:rsid w:val="00B31C2E"/>
    <w:rsid w:val="00B35C09"/>
    <w:rsid w:val="00B36799"/>
    <w:rsid w:val="00B443BD"/>
    <w:rsid w:val="00B469EB"/>
    <w:rsid w:val="00B47310"/>
    <w:rsid w:val="00B522AB"/>
    <w:rsid w:val="00B52C31"/>
    <w:rsid w:val="00B62D66"/>
    <w:rsid w:val="00B634F4"/>
    <w:rsid w:val="00B642C6"/>
    <w:rsid w:val="00B64DB4"/>
    <w:rsid w:val="00B65893"/>
    <w:rsid w:val="00B755E1"/>
    <w:rsid w:val="00B81C5C"/>
    <w:rsid w:val="00B92CEC"/>
    <w:rsid w:val="00BB36F4"/>
    <w:rsid w:val="00BC1F35"/>
    <w:rsid w:val="00BC434D"/>
    <w:rsid w:val="00BC4FCE"/>
    <w:rsid w:val="00BC5D6A"/>
    <w:rsid w:val="00BC670A"/>
    <w:rsid w:val="00BE0D82"/>
    <w:rsid w:val="00BE2F0B"/>
    <w:rsid w:val="00BF0E03"/>
    <w:rsid w:val="00BF1340"/>
    <w:rsid w:val="00BF2934"/>
    <w:rsid w:val="00BF36FE"/>
    <w:rsid w:val="00BF474B"/>
    <w:rsid w:val="00BF4AFC"/>
    <w:rsid w:val="00BF5522"/>
    <w:rsid w:val="00C01E2B"/>
    <w:rsid w:val="00C175EE"/>
    <w:rsid w:val="00C23B3B"/>
    <w:rsid w:val="00C26251"/>
    <w:rsid w:val="00C30A0D"/>
    <w:rsid w:val="00C44FB6"/>
    <w:rsid w:val="00C53876"/>
    <w:rsid w:val="00C5470A"/>
    <w:rsid w:val="00C60D41"/>
    <w:rsid w:val="00C62AA7"/>
    <w:rsid w:val="00C63357"/>
    <w:rsid w:val="00C64C07"/>
    <w:rsid w:val="00C834A3"/>
    <w:rsid w:val="00C95F84"/>
    <w:rsid w:val="00C97660"/>
    <w:rsid w:val="00CA356A"/>
    <w:rsid w:val="00CA74BB"/>
    <w:rsid w:val="00CC2520"/>
    <w:rsid w:val="00CC606B"/>
    <w:rsid w:val="00CC6E86"/>
    <w:rsid w:val="00D00079"/>
    <w:rsid w:val="00D01769"/>
    <w:rsid w:val="00D02F06"/>
    <w:rsid w:val="00D05AFF"/>
    <w:rsid w:val="00D12E34"/>
    <w:rsid w:val="00D13F17"/>
    <w:rsid w:val="00D218B7"/>
    <w:rsid w:val="00D411D1"/>
    <w:rsid w:val="00D43020"/>
    <w:rsid w:val="00D56472"/>
    <w:rsid w:val="00D824DB"/>
    <w:rsid w:val="00D84DDC"/>
    <w:rsid w:val="00D90711"/>
    <w:rsid w:val="00D910A0"/>
    <w:rsid w:val="00D914BA"/>
    <w:rsid w:val="00D95783"/>
    <w:rsid w:val="00DA1643"/>
    <w:rsid w:val="00DA280C"/>
    <w:rsid w:val="00DA76B0"/>
    <w:rsid w:val="00DC2454"/>
    <w:rsid w:val="00DD1F0E"/>
    <w:rsid w:val="00DE2066"/>
    <w:rsid w:val="00DE36EC"/>
    <w:rsid w:val="00DF3728"/>
    <w:rsid w:val="00DF7619"/>
    <w:rsid w:val="00E07A22"/>
    <w:rsid w:val="00E14148"/>
    <w:rsid w:val="00E30CB0"/>
    <w:rsid w:val="00E34484"/>
    <w:rsid w:val="00E41B34"/>
    <w:rsid w:val="00E55741"/>
    <w:rsid w:val="00E608EF"/>
    <w:rsid w:val="00E73770"/>
    <w:rsid w:val="00E74446"/>
    <w:rsid w:val="00E7598A"/>
    <w:rsid w:val="00E760A4"/>
    <w:rsid w:val="00E85D2F"/>
    <w:rsid w:val="00E92CA5"/>
    <w:rsid w:val="00EB1F44"/>
    <w:rsid w:val="00EB3D0D"/>
    <w:rsid w:val="00EB775B"/>
    <w:rsid w:val="00EC1D7C"/>
    <w:rsid w:val="00ED0C29"/>
    <w:rsid w:val="00ED1A87"/>
    <w:rsid w:val="00ED4C82"/>
    <w:rsid w:val="00ED54B0"/>
    <w:rsid w:val="00EE22EB"/>
    <w:rsid w:val="00EE5264"/>
    <w:rsid w:val="00EE5AF2"/>
    <w:rsid w:val="00EF753A"/>
    <w:rsid w:val="00F034E9"/>
    <w:rsid w:val="00F03542"/>
    <w:rsid w:val="00F0357A"/>
    <w:rsid w:val="00F15F1F"/>
    <w:rsid w:val="00F1763A"/>
    <w:rsid w:val="00F208C1"/>
    <w:rsid w:val="00F2344F"/>
    <w:rsid w:val="00F249F9"/>
    <w:rsid w:val="00F31757"/>
    <w:rsid w:val="00F4449B"/>
    <w:rsid w:val="00F6440D"/>
    <w:rsid w:val="00F716E3"/>
    <w:rsid w:val="00F7732C"/>
    <w:rsid w:val="00F82B39"/>
    <w:rsid w:val="00F90A62"/>
    <w:rsid w:val="00F95AD4"/>
    <w:rsid w:val="00F967BD"/>
    <w:rsid w:val="00FB30C0"/>
    <w:rsid w:val="00FB6382"/>
    <w:rsid w:val="00FD0249"/>
    <w:rsid w:val="00FD33A4"/>
    <w:rsid w:val="00FE2914"/>
    <w:rsid w:val="00FE4E36"/>
    <w:rsid w:val="00FF4AB5"/>
    <w:rsid w:val="00FF61FE"/>
    <w:rsid w:val="00FF7884"/>
    <w:rsid w:val="1BF2549D"/>
    <w:rsid w:val="1F8C31D6"/>
    <w:rsid w:val="201C15E3"/>
    <w:rsid w:val="49153299"/>
    <w:rsid w:val="52976F97"/>
    <w:rsid w:val="52C8216A"/>
    <w:rsid w:val="54681B59"/>
    <w:rsid w:val="6E4224F5"/>
    <w:rsid w:val="7C2E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link w:val="13"/>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7"/>
    <w:autoRedefine/>
    <w:semiHidden/>
    <w:unhideWhenUsed/>
    <w:qFormat/>
    <w:uiPriority w:val="99"/>
    <w:rPr>
      <w:sz w:val="18"/>
      <w:szCs w:val="18"/>
    </w:r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autoRedefine/>
    <w:semiHidden/>
    <w:unhideWhenUsed/>
    <w:qFormat/>
    <w:uiPriority w:val="99"/>
    <w:pPr>
      <w:snapToGrid w:val="0"/>
      <w:jc w:val="left"/>
    </w:pPr>
    <w:rPr>
      <w:sz w:val="18"/>
      <w:szCs w:val="18"/>
    </w:rPr>
  </w:style>
  <w:style w:type="paragraph" w:styleId="8">
    <w:name w:val="Title"/>
    <w:basedOn w:val="1"/>
    <w:next w:val="1"/>
    <w:link w:val="21"/>
    <w:autoRedefine/>
    <w:qFormat/>
    <w:uiPriority w:val="10"/>
    <w:pPr>
      <w:spacing w:beforeLines="50" w:afterLines="50" w:line="360" w:lineRule="auto"/>
      <w:jc w:val="center"/>
      <w:outlineLvl w:val="0"/>
    </w:pPr>
    <w:rPr>
      <w:rFonts w:ascii="Times New Roman" w:hAnsi="Times New Roman" w:eastAsia="黑体" w:cstheme="majorBidi"/>
      <w:b/>
      <w:bCs/>
      <w:sz w:val="36"/>
      <w:szCs w:val="32"/>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basedOn w:val="11"/>
    <w:autoRedefine/>
    <w:semiHidden/>
    <w:unhideWhenUsed/>
    <w:qFormat/>
    <w:uiPriority w:val="99"/>
    <w:rPr>
      <w:vertAlign w:val="superscript"/>
    </w:rPr>
  </w:style>
  <w:style w:type="character" w:customStyle="1" w:styleId="13">
    <w:name w:val="标题 2 字符"/>
    <w:basedOn w:val="11"/>
    <w:link w:val="3"/>
    <w:autoRedefine/>
    <w:qFormat/>
    <w:uiPriority w:val="9"/>
    <w:rPr>
      <w:rFonts w:ascii="宋体" w:hAnsi="宋体" w:eastAsia="宋体" w:cs="宋体"/>
      <w:b/>
      <w:bCs/>
      <w:kern w:val="0"/>
      <w:sz w:val="36"/>
      <w:szCs w:val="36"/>
    </w:rPr>
  </w:style>
  <w:style w:type="character" w:customStyle="1" w:styleId="14">
    <w:name w:val="页眉 字符"/>
    <w:basedOn w:val="11"/>
    <w:link w:val="6"/>
    <w:autoRedefine/>
    <w:qFormat/>
    <w:uiPriority w:val="99"/>
    <w:rPr>
      <w:sz w:val="18"/>
      <w:szCs w:val="18"/>
    </w:rPr>
  </w:style>
  <w:style w:type="character" w:customStyle="1" w:styleId="15">
    <w:name w:val="页脚 字符"/>
    <w:basedOn w:val="11"/>
    <w:link w:val="5"/>
    <w:autoRedefine/>
    <w:qFormat/>
    <w:uiPriority w:val="99"/>
    <w:rPr>
      <w:sz w:val="18"/>
      <w:szCs w:val="18"/>
    </w:rPr>
  </w:style>
  <w:style w:type="paragraph" w:styleId="16">
    <w:name w:val="List Paragraph"/>
    <w:basedOn w:val="1"/>
    <w:autoRedefine/>
    <w:qFormat/>
    <w:uiPriority w:val="34"/>
    <w:pPr>
      <w:ind w:firstLine="420" w:firstLineChars="200"/>
    </w:pPr>
  </w:style>
  <w:style w:type="character" w:customStyle="1" w:styleId="17">
    <w:name w:val="批注框文本 字符"/>
    <w:basedOn w:val="11"/>
    <w:link w:val="4"/>
    <w:autoRedefine/>
    <w:semiHidden/>
    <w:qFormat/>
    <w:uiPriority w:val="99"/>
    <w:rPr>
      <w:sz w:val="18"/>
      <w:szCs w:val="18"/>
    </w:rPr>
  </w:style>
  <w:style w:type="character" w:customStyle="1" w:styleId="18">
    <w:name w:val="脚注文本 字符"/>
    <w:basedOn w:val="11"/>
    <w:link w:val="7"/>
    <w:semiHidden/>
    <w:qFormat/>
    <w:uiPriority w:val="99"/>
    <w:rPr>
      <w:sz w:val="18"/>
      <w:szCs w:val="18"/>
    </w:rPr>
  </w:style>
  <w:style w:type="character" w:customStyle="1" w:styleId="19">
    <w:name w:val="标题 1 字符"/>
    <w:basedOn w:val="11"/>
    <w:link w:val="2"/>
    <w:autoRedefine/>
    <w:qFormat/>
    <w:uiPriority w:val="9"/>
    <w:rPr>
      <w:b/>
      <w:bCs/>
      <w:kern w:val="44"/>
      <w:sz w:val="44"/>
      <w:szCs w:val="44"/>
    </w:rPr>
  </w:style>
  <w:style w:type="paragraph" w:customStyle="1" w:styleId="20">
    <w:name w:val="列表段落1"/>
    <w:basedOn w:val="1"/>
    <w:autoRedefine/>
    <w:qFormat/>
    <w:uiPriority w:val="0"/>
    <w:pPr>
      <w:ind w:firstLine="420" w:firstLineChars="200"/>
    </w:pPr>
    <w:rPr>
      <w:rFonts w:ascii="Times New Roman" w:hAnsi="Times New Roman" w:eastAsia="宋体" w:cs="Times New Roman"/>
      <w:szCs w:val="20"/>
    </w:rPr>
  </w:style>
  <w:style w:type="character" w:customStyle="1" w:styleId="21">
    <w:name w:val="标题 字符"/>
    <w:basedOn w:val="11"/>
    <w:link w:val="8"/>
    <w:autoRedefine/>
    <w:qFormat/>
    <w:uiPriority w:val="10"/>
    <w:rPr>
      <w:rFonts w:ascii="Times New Roman" w:hAnsi="Times New Roman" w:eastAsia="黑体" w:cstheme="majorBidi"/>
      <w:b/>
      <w:bCs/>
      <w:kern w:val="2"/>
      <w:sz w:val="36"/>
      <w:szCs w:val="32"/>
    </w:rPr>
  </w:style>
  <w:style w:type="paragraph" w:customStyle="1" w:styleId="22">
    <w:name w:val="附件"/>
    <w:basedOn w:val="1"/>
    <w:next w:val="1"/>
    <w:autoRedefine/>
    <w:qFormat/>
    <w:uiPriority w:val="0"/>
    <w:pPr>
      <w:spacing w:line="360" w:lineRule="auto"/>
    </w:pPr>
    <w:rPr>
      <w:rFonts w:ascii="Times New Roman" w:hAnsi="Times New Roman" w:eastAsia="黑体"/>
      <w:sz w:val="3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354F-FAAF-487F-AE72-9AD38AA145E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627</Words>
  <Characters>3576</Characters>
  <Lines>29</Lines>
  <Paragraphs>8</Paragraphs>
  <TotalTime>522</TotalTime>
  <ScaleCrop>false</ScaleCrop>
  <LinksUpToDate>false</LinksUpToDate>
  <CharactersWithSpaces>4195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2021-11-02T04:29:00Z</dcterms:created>
  <dc:creator>y</dc:creator>
  <cp:lastModifiedBy>华晶</cp:lastModifiedBy>
  <cp:lastPrinted>2022-11-10T08:11:00Z</cp:lastPrinted>
  <dcterms:modified xsi:type="dcterms:W3CDTF">2024-01-03T00:40:41Z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76EEE2120A5A40C19A4D4A0084E27146_13</vt:lpwstr>
  </property>
</Properties>
</file>