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rPr>
          <w:rFonts w:hint="eastAsia" w:cs="Times New Roman"/>
          <w:lang w:val="en-US" w:eastAsia="zh-CN"/>
        </w:rPr>
      </w:pPr>
      <w:bookmarkStart w:id="24" w:name="_GoBack"/>
      <w:r>
        <w:rPr>
          <w:rFonts w:cs="Times New Roman"/>
        </w:rPr>
        <w:t>附件</w:t>
      </w:r>
      <w:r>
        <w:rPr>
          <w:rFonts w:hint="eastAsia" w:cs="Times New Roman"/>
          <w:lang w:val="en-US" w:eastAsia="zh-CN"/>
        </w:rPr>
        <w:t>一 系统需求</w:t>
      </w:r>
    </w:p>
    <w:bookmarkEnd w:id="24"/>
    <w:p>
      <w:pPr>
        <w:spacing w:line="360" w:lineRule="auto"/>
        <w:ind w:firstLine="420" w:firstLineChars="150"/>
        <w:outlineLvl w:val="1"/>
        <w:rPr>
          <w:rFonts w:ascii="Times New Roman" w:hAnsi="Times New Roman" w:eastAsia="楷体" w:cs="Times New Roman"/>
          <w:b/>
          <w:sz w:val="24"/>
        </w:rPr>
      </w:pPr>
      <w:bookmarkStart w:id="0" w:name="_Toc138617538"/>
      <w:r>
        <w:rPr>
          <w:rFonts w:hint="eastAsia" w:ascii="Times New Roman" w:hAnsi="Times New Roman" w:eastAsia="楷体" w:cs="Times New Roman"/>
          <w:b/>
          <w:color w:val="000000"/>
          <w:sz w:val="28"/>
          <w:szCs w:val="28"/>
          <w:lang w:val="en-US" w:eastAsia="zh-CN"/>
        </w:rPr>
        <w:t>1.1</w:t>
      </w:r>
      <w:r>
        <w:rPr>
          <w:rFonts w:hint="default" w:ascii="Times New Roman" w:hAnsi="Times New Roman" w:eastAsia="楷体" w:cs="Times New Roman"/>
          <w:b/>
          <w:color w:val="000000"/>
          <w:sz w:val="28"/>
          <w:szCs w:val="28"/>
        </w:rPr>
        <w:t>监管预警体系总体结构</w:t>
      </w:r>
      <w:bookmarkEnd w:id="0"/>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sz w:val="24"/>
          <w:szCs w:val="28"/>
          <w:lang w:val="zh-CN" w:bidi="zh-CN"/>
        </w:rPr>
        <w:t>地下水环境监管预警体系包括预警体系和监管监测系统平台建设</w:t>
      </w:r>
      <w:r>
        <w:rPr>
          <w:rFonts w:hint="eastAsia" w:ascii="Times New Roman" w:hAnsi="Times New Roman" w:eastAsia="仿宋" w:cs="Times New Roman"/>
          <w:sz w:val="24"/>
          <w:szCs w:val="28"/>
          <w:lang w:val="zh-CN" w:bidi="zh-CN"/>
        </w:rPr>
        <w:t>。</w:t>
      </w:r>
      <w:r>
        <w:rPr>
          <w:rFonts w:ascii="Times New Roman" w:hAnsi="Times New Roman" w:eastAsia="仿宋" w:cs="Times New Roman"/>
          <w:sz w:val="24"/>
          <w:szCs w:val="28"/>
          <w:lang w:val="zh-CN" w:bidi="zh-CN"/>
        </w:rPr>
        <w:t>预警体系</w:t>
      </w:r>
      <w:r>
        <w:rPr>
          <w:rFonts w:hint="eastAsia" w:ascii="Times New Roman" w:hAnsi="Times New Roman" w:eastAsia="仿宋" w:cs="Times New Roman"/>
          <w:sz w:val="24"/>
          <w:szCs w:val="28"/>
          <w:lang w:val="zh-CN" w:bidi="zh-CN"/>
        </w:rPr>
        <w:t>包括在线监测井系统（包括监测井、数据传输系统和展示系统），</w:t>
      </w:r>
      <w:r>
        <w:rPr>
          <w:rFonts w:ascii="Times New Roman" w:hAnsi="Times New Roman" w:eastAsia="仿宋" w:cs="Times New Roman"/>
          <w:sz w:val="24"/>
          <w:szCs w:val="28"/>
          <w:lang w:val="zh-CN" w:bidi="zh-CN"/>
        </w:rPr>
        <w:t>系统平台</w:t>
      </w:r>
      <w:r>
        <w:rPr>
          <w:rFonts w:hint="eastAsia" w:ascii="Times New Roman" w:hAnsi="Times New Roman" w:eastAsia="仿宋" w:cs="Times New Roman"/>
          <w:sz w:val="24"/>
          <w:szCs w:val="28"/>
          <w:lang w:val="zh-CN" w:bidi="zh-CN"/>
        </w:rPr>
        <w:t>为集中的监管平台，</w:t>
      </w:r>
      <w:r>
        <w:rPr>
          <w:rFonts w:ascii="Times New Roman" w:hAnsi="Times New Roman" w:eastAsia="仿宋" w:cs="Times New Roman"/>
          <w:sz w:val="24"/>
          <w:szCs w:val="28"/>
          <w:lang w:val="zh-CN" w:bidi="zh-CN"/>
        </w:rPr>
        <w:t>功能应包括，实现与产业园区地下水实时监测网的数据业务对接，地下水基础状况调查数据集成，数据可视化展示，以及信息查询、统计、汇总、报表、档案管理等</w:t>
      </w:r>
      <w:r>
        <w:rPr>
          <w:rFonts w:hint="eastAsia" w:ascii="Times New Roman" w:hAnsi="Times New Roman" w:eastAsia="仿宋" w:cs="Times New Roman"/>
          <w:sz w:val="24"/>
          <w:szCs w:val="28"/>
          <w:lang w:val="zh-CN" w:bidi="zh-CN"/>
        </w:rPr>
        <w:t>。</w:t>
      </w:r>
    </w:p>
    <w:p>
      <w:pPr>
        <w:snapToGrid w:val="0"/>
        <w:spacing w:line="360" w:lineRule="auto"/>
        <w:ind w:firstLine="480" w:firstLineChars="200"/>
        <w:rPr>
          <w:rFonts w:ascii="Times New Roman" w:hAnsi="Times New Roman" w:eastAsia="仿宋" w:cs="Times New Roman"/>
          <w:sz w:val="24"/>
          <w:szCs w:val="28"/>
          <w:lang w:bidi="zh-CN"/>
        </w:rPr>
      </w:pPr>
      <w:r>
        <w:rPr>
          <w:rFonts w:ascii="Times New Roman" w:hAnsi="Times New Roman" w:eastAsia="仿宋" w:cs="Times New Roman"/>
          <w:sz w:val="24"/>
          <w:szCs w:val="28"/>
          <w:lang w:bidi="zh-CN"/>
        </w:rPr>
        <w:t>基于郑州市各产业园区水文地质条件、地下水污染源分布和地下水环境动态监测结果，以及地下水水位水质三维模拟过程，构建郑州市产业园区地下水环境预警体系。主要内容包括：（1）根据产业园区地下水环境状态、发展趋势以及相关管理要求，提出各产业园区地下水环境预警等级判断方法；（2）地下水水质预警。依据郑州市产业园区地下水水质监测结果，建立产业园区地下水水质预警系统，制定不同应急方案和风险排查方案，并结合预警成果提出相应的防治措施。</w:t>
      </w:r>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sz w:val="24"/>
          <w:szCs w:val="28"/>
          <w:lang w:val="zh-CN" w:bidi="zh-CN"/>
        </w:rPr>
        <w:t>软件系统平台初步包括系统管理、基础数据集成、监测预警管理和档案管理四个模块。</w:t>
      </w:r>
    </w:p>
    <w:p>
      <w:pPr>
        <w:spacing w:line="360" w:lineRule="auto"/>
        <w:ind w:firstLine="420" w:firstLineChars="150"/>
        <w:outlineLvl w:val="1"/>
        <w:rPr>
          <w:rFonts w:ascii="Times New Roman" w:hAnsi="Times New Roman" w:eastAsia="楷体" w:cs="Times New Roman"/>
          <w:b/>
          <w:sz w:val="24"/>
        </w:rPr>
      </w:pPr>
      <w:bookmarkStart w:id="1" w:name="_Toc138617539"/>
      <w:r>
        <w:rPr>
          <w:rFonts w:hint="eastAsia" w:ascii="Times New Roman" w:hAnsi="Times New Roman" w:eastAsia="楷体" w:cs="Times New Roman"/>
          <w:b/>
          <w:color w:val="000000"/>
          <w:sz w:val="28"/>
          <w:szCs w:val="28"/>
          <w:lang w:val="en-US" w:eastAsia="zh-CN"/>
        </w:rPr>
        <w:t>1</w:t>
      </w:r>
      <w:r>
        <w:rPr>
          <w:rFonts w:hint="default" w:ascii="Times New Roman" w:hAnsi="Times New Roman" w:eastAsia="楷体" w:cs="Times New Roman"/>
          <w:b/>
          <w:color w:val="000000"/>
          <w:sz w:val="28"/>
          <w:szCs w:val="28"/>
        </w:rPr>
        <w:t>.2 信息化监测系统功能</w:t>
      </w:r>
      <w:bookmarkEnd w:id="1"/>
    </w:p>
    <w:p>
      <w:pPr>
        <w:spacing w:line="360" w:lineRule="auto"/>
        <w:ind w:firstLine="560" w:firstLineChars="200"/>
        <w:outlineLvl w:val="2"/>
        <w:rPr>
          <w:rFonts w:ascii="Times New Roman" w:hAnsi="Times New Roman" w:eastAsia="仿宋" w:cs="Times New Roman"/>
          <w:b/>
          <w:sz w:val="28"/>
          <w:szCs w:val="28"/>
        </w:rPr>
      </w:pPr>
      <w:r>
        <w:rPr>
          <w:rFonts w:hint="eastAsia" w:ascii="Times New Roman" w:hAnsi="Times New Roman" w:eastAsia="仿宋" w:cs="Times New Roman"/>
          <w:b/>
          <w:sz w:val="28"/>
          <w:szCs w:val="28"/>
          <w:lang w:val="en-US" w:eastAsia="zh-CN"/>
        </w:rPr>
        <w:t>1</w:t>
      </w:r>
      <w:r>
        <w:rPr>
          <w:rFonts w:ascii="Times New Roman" w:hAnsi="Times New Roman" w:eastAsia="仿宋" w:cs="Times New Roman"/>
          <w:b/>
          <w:sz w:val="28"/>
          <w:szCs w:val="28"/>
        </w:rPr>
        <w:t>.2.1 地下水基础信息管理</w:t>
      </w:r>
    </w:p>
    <w:p>
      <w:pPr>
        <w:snapToGrid w:val="0"/>
        <w:spacing w:line="360" w:lineRule="auto"/>
        <w:ind w:firstLine="480" w:firstLineChars="200"/>
        <w:rPr>
          <w:rFonts w:ascii="Times New Roman" w:hAnsi="Times New Roman" w:eastAsia="仿宋" w:cs="Times New Roman"/>
          <w:sz w:val="24"/>
          <w:szCs w:val="28"/>
          <w:lang w:val="zh-CN" w:bidi="zh-CN"/>
        </w:rPr>
      </w:pPr>
      <w:bookmarkStart w:id="2" w:name="_Hlk105746850"/>
      <w:r>
        <w:rPr>
          <w:rFonts w:ascii="Times New Roman" w:hAnsi="Times New Roman" w:eastAsia="仿宋" w:cs="Times New Roman"/>
          <w:sz w:val="24"/>
          <w:szCs w:val="28"/>
          <w:lang w:val="zh-CN" w:bidi="zh-CN"/>
        </w:rPr>
        <w:t>对郑州13个产业园区的园区范围、企业分布、污染源分布以及历史调查监测井信息、调查结果、水文地质信息等进行整合、梳理、归档</w:t>
      </w:r>
      <w:bookmarkEnd w:id="2"/>
      <w:r>
        <w:rPr>
          <w:rFonts w:ascii="Times New Roman" w:hAnsi="Times New Roman" w:eastAsia="仿宋" w:cs="Times New Roman"/>
          <w:sz w:val="24"/>
          <w:szCs w:val="28"/>
          <w:lang w:val="zh-CN" w:bidi="zh-CN"/>
        </w:rPr>
        <w:t>，实现快捷查询及可视化展示，以便掌握基础信息。</w:t>
      </w:r>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sz w:val="24"/>
          <w:szCs w:val="28"/>
          <w:lang w:val="zh-CN" w:bidi="zh-CN"/>
        </w:rPr>
        <w:t>（1）园区企业档案</w:t>
      </w:r>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sz w:val="24"/>
          <w:szCs w:val="28"/>
          <w:lang w:val="zh-CN" w:bidi="zh-CN"/>
        </w:rPr>
        <w:t>针对13个产业园区开展资料收集、现场勘查及周边环境调查工作，查明园区范围、企业分布、重点污染源分布，形成结构化数据。</w:t>
      </w:r>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sz w:val="24"/>
          <w:szCs w:val="28"/>
          <w:lang w:val="zh-CN" w:bidi="zh-CN"/>
        </w:rPr>
        <w:t>（2）监测井档案</w:t>
      </w:r>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sz w:val="24"/>
          <w:szCs w:val="28"/>
          <w:lang w:val="zh-CN" w:bidi="zh-CN"/>
        </w:rPr>
        <w:t>1）监测井信息</w:t>
      </w:r>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sz w:val="24"/>
          <w:szCs w:val="28"/>
          <w:lang w:val="zh-CN" w:bidi="zh-CN"/>
        </w:rPr>
        <w:t>基于前期地质</w:t>
      </w:r>
      <w:r>
        <w:rPr>
          <w:rFonts w:hint="eastAsia" w:ascii="Times New Roman" w:hAnsi="Times New Roman" w:eastAsia="仿宋" w:cs="Times New Roman"/>
          <w:sz w:val="24"/>
          <w:szCs w:val="28"/>
          <w:lang w:val="en-US" w:bidi="zh-CN"/>
        </w:rPr>
        <w:t>调查</w:t>
      </w:r>
      <w:r>
        <w:rPr>
          <w:rFonts w:ascii="Times New Roman" w:hAnsi="Times New Roman" w:eastAsia="仿宋" w:cs="Times New Roman"/>
          <w:sz w:val="24"/>
          <w:szCs w:val="28"/>
          <w:lang w:val="zh-CN" w:bidi="zh-CN"/>
        </w:rPr>
        <w:t>成果，建立全区地下水环境监测井信息档案，并按照不同应用类型进行分类归档，包括地下水基础环境状况调查评估监测井、地下水污染跟踪监测井、地下水型饮用水源开采井等。在线维护监测井类型、经纬度、地面标高、井深、建设单位、钻孔岩土等信息，若监测井接入在线监测设备，可直接关联监测点位信息。</w:t>
      </w:r>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sz w:val="24"/>
          <w:szCs w:val="28"/>
          <w:lang w:val="zh-CN" w:bidi="zh-CN"/>
        </w:rPr>
        <w:t>2）地下水监测点</w:t>
      </w:r>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sz w:val="24"/>
          <w:szCs w:val="28"/>
          <w:lang w:val="zh-CN" w:bidi="zh-CN"/>
        </w:rPr>
        <w:t>基于布设的监测感知一张网，建立全区地下水监测点档案，支持接入在线监测设备，按含水介质、埋藏条件、监测方式等不同类型进行分类维护，为后续地下水应用分析提供数据支撑。</w:t>
      </w:r>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sz w:val="24"/>
          <w:szCs w:val="28"/>
          <w:lang w:val="zh-CN" w:bidi="zh-CN"/>
        </w:rPr>
        <w:t>3）地下水背景点</w:t>
      </w:r>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sz w:val="24"/>
          <w:szCs w:val="28"/>
          <w:lang w:val="zh-CN" w:bidi="zh-CN"/>
        </w:rPr>
        <w:t>将前期开展的地下水环境背景调查数据进行结果可视化，梳理地下水重要考核指标背景值标准，根据实际情况自动计算区域背景值，为后续地下水水质评价提供限值参考和支撑。</w:t>
      </w:r>
    </w:p>
    <w:p>
      <w:pPr>
        <w:tabs>
          <w:tab w:val="left" w:pos="864"/>
        </w:tabs>
        <w:snapToGrid w:val="0"/>
        <w:spacing w:line="360" w:lineRule="auto"/>
        <w:ind w:firstLine="480" w:firstLineChars="200"/>
        <w:rPr>
          <w:rFonts w:ascii="Times New Roman" w:hAnsi="Times New Roman" w:eastAsia="宋体" w:cs="Times New Roman"/>
          <w:b/>
          <w:bCs/>
          <w:sz w:val="24"/>
        </w:rPr>
      </w:pPr>
      <w:bookmarkStart w:id="3" w:name="_Toc48164122"/>
      <w:bookmarkStart w:id="4" w:name="_Toc41322451"/>
      <w:r>
        <w:rPr>
          <w:rFonts w:ascii="Times New Roman" w:hAnsi="Times New Roman" w:eastAsia="宋体" w:cs="Times New Roman"/>
          <w:b/>
          <w:bCs/>
          <w:sz w:val="24"/>
        </w:rPr>
        <w:t>（3）水文地质档案</w:t>
      </w:r>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sz w:val="24"/>
          <w:szCs w:val="28"/>
          <w:lang w:val="zh-CN" w:bidi="zh-CN"/>
        </w:rPr>
        <w:t>针对前期现状调查而获得的行政区划、地形地貌、土地利用情况、水文地质信息等，平台从饮用水水源地、园区、企业等维度来分类建立水文地质档案库，在线维护基本信息、周边河流信息、地质条件、地勘报告等。</w:t>
      </w:r>
    </w:p>
    <w:p>
      <w:pPr>
        <w:tabs>
          <w:tab w:val="left" w:pos="864"/>
        </w:tabs>
        <w:snapToGrid w:val="0"/>
        <w:spacing w:line="360" w:lineRule="auto"/>
        <w:ind w:firstLine="480" w:firstLineChars="200"/>
        <w:rPr>
          <w:rFonts w:ascii="Times New Roman" w:hAnsi="Times New Roman" w:eastAsia="宋体" w:cs="Times New Roman"/>
          <w:b/>
          <w:bCs/>
          <w:sz w:val="24"/>
        </w:rPr>
      </w:pPr>
      <w:r>
        <w:rPr>
          <w:rFonts w:ascii="Times New Roman" w:hAnsi="Times New Roman" w:eastAsia="宋体" w:cs="Times New Roman"/>
          <w:b/>
          <w:bCs/>
          <w:sz w:val="24"/>
        </w:rPr>
        <w:t>（4）已有调查档案</w:t>
      </w:r>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sz w:val="24"/>
          <w:szCs w:val="28"/>
          <w:lang w:val="zh-CN" w:bidi="zh-CN"/>
        </w:rPr>
        <w:t>对园区内已有地下水调查建立档案，录入系统。可实现查询、更新等操作。</w:t>
      </w:r>
    </w:p>
    <w:p>
      <w:pPr>
        <w:spacing w:line="360" w:lineRule="auto"/>
        <w:ind w:firstLine="560" w:firstLineChars="200"/>
        <w:outlineLvl w:val="2"/>
        <w:rPr>
          <w:rFonts w:ascii="Times New Roman" w:hAnsi="Times New Roman" w:eastAsia="仿宋" w:cs="Times New Roman"/>
          <w:b/>
          <w:sz w:val="28"/>
          <w:szCs w:val="28"/>
        </w:rPr>
      </w:pPr>
      <w:bookmarkStart w:id="5" w:name="_Toc106780423"/>
      <w:r>
        <w:rPr>
          <w:rFonts w:hint="eastAsia" w:ascii="Times New Roman" w:hAnsi="Times New Roman" w:eastAsia="仿宋" w:cs="Times New Roman"/>
          <w:b/>
          <w:sz w:val="28"/>
          <w:szCs w:val="28"/>
          <w:lang w:val="en-US" w:eastAsia="zh-CN"/>
        </w:rPr>
        <w:t>1</w:t>
      </w:r>
      <w:r>
        <w:rPr>
          <w:rFonts w:ascii="Times New Roman" w:hAnsi="Times New Roman" w:eastAsia="仿宋" w:cs="Times New Roman"/>
          <w:b/>
          <w:sz w:val="28"/>
          <w:szCs w:val="28"/>
        </w:rPr>
        <w:t>.2.2 园区地下水监测</w:t>
      </w:r>
      <w:bookmarkEnd w:id="3"/>
      <w:bookmarkEnd w:id="4"/>
      <w:bookmarkEnd w:id="5"/>
      <w:r>
        <w:rPr>
          <w:rFonts w:ascii="Times New Roman" w:hAnsi="Times New Roman" w:eastAsia="仿宋" w:cs="Times New Roman"/>
          <w:b/>
          <w:sz w:val="28"/>
          <w:szCs w:val="28"/>
        </w:rPr>
        <w:t>功能</w:t>
      </w:r>
    </w:p>
    <w:p>
      <w:pPr>
        <w:snapToGrid w:val="0"/>
        <w:spacing w:line="360" w:lineRule="auto"/>
        <w:ind w:firstLine="480" w:firstLineChars="200"/>
        <w:rPr>
          <w:rFonts w:ascii="Times New Roman" w:hAnsi="Times New Roman" w:eastAsia="仿宋" w:cs="Times New Roman"/>
          <w:b/>
          <w:bCs/>
          <w:sz w:val="24"/>
          <w:szCs w:val="28"/>
          <w:lang w:val="zh-CN" w:bidi="zh-CN"/>
        </w:rPr>
      </w:pPr>
      <w:r>
        <w:rPr>
          <w:rFonts w:ascii="Times New Roman" w:hAnsi="Times New Roman" w:eastAsia="仿宋" w:cs="Times New Roman"/>
          <w:b/>
          <w:bCs/>
          <w:sz w:val="24"/>
          <w:szCs w:val="28"/>
          <w:lang w:val="zh-CN" w:bidi="zh-CN"/>
        </w:rPr>
        <w:t>（1）监测数据采集</w:t>
      </w:r>
    </w:p>
    <w:p>
      <w:pPr>
        <w:snapToGrid w:val="0"/>
        <w:spacing w:line="360" w:lineRule="auto"/>
        <w:ind w:firstLine="480" w:firstLineChars="200"/>
        <w:rPr>
          <w:rFonts w:ascii="Times New Roman" w:hAnsi="Times New Roman" w:eastAsia="仿宋" w:cs="Times New Roman"/>
          <w:b/>
          <w:bCs/>
          <w:sz w:val="24"/>
          <w:szCs w:val="28"/>
          <w:lang w:val="zh-CN" w:bidi="zh-CN"/>
        </w:rPr>
      </w:pPr>
      <w:r>
        <w:rPr>
          <w:rFonts w:ascii="Times New Roman" w:hAnsi="Times New Roman" w:eastAsia="仿宋" w:cs="Times New Roman"/>
          <w:b/>
          <w:bCs/>
          <w:sz w:val="24"/>
          <w:szCs w:val="28"/>
          <w:lang w:val="zh-CN" w:bidi="zh-CN"/>
        </w:rPr>
        <w:t>1）自动监测数据接入</w:t>
      </w:r>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sz w:val="24"/>
          <w:szCs w:val="28"/>
          <w:lang w:val="zh-CN" w:bidi="zh-CN"/>
        </w:rPr>
        <w:t>系统遵循《地下水监测系统数据通信接口协议》、《污染物在线监控（监测）系统数据传输标准》等规范实现各类地下水自动监测站和废水排口自动监测的数据联网，能实时接收和主动获取各自动监测站采集和传输的数据。</w:t>
      </w:r>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sz w:val="24"/>
          <w:szCs w:val="28"/>
          <w:lang w:val="zh-CN" w:bidi="zh-CN"/>
        </w:rPr>
        <w:t xml:space="preserve">系统支持各种自动监测数据的接入，实现数据包的有效性检查、解析和入库（数据存储），可查看原始数据报文，实现多种不同接入协议的配置和解析。 </w:t>
      </w:r>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sz w:val="24"/>
          <w:szCs w:val="28"/>
          <w:lang w:val="zh-CN" w:bidi="zh-CN"/>
        </w:rPr>
        <w:t>系统采用组件化的设计思想并预留各种接口，具有较强的开放性和扩展性，具备支撑未来自动监测网络扩容的数据接入能力。</w:t>
      </w:r>
    </w:p>
    <w:p>
      <w:pPr>
        <w:snapToGrid w:val="0"/>
        <w:spacing w:line="360" w:lineRule="auto"/>
        <w:ind w:firstLine="480" w:firstLineChars="200"/>
        <w:rPr>
          <w:rFonts w:ascii="Times New Roman" w:hAnsi="Times New Roman" w:eastAsia="仿宋" w:cs="Times New Roman"/>
          <w:b/>
          <w:bCs/>
          <w:sz w:val="24"/>
          <w:szCs w:val="28"/>
          <w:lang w:val="zh-CN" w:bidi="zh-CN"/>
        </w:rPr>
      </w:pPr>
      <w:r>
        <w:rPr>
          <w:rFonts w:ascii="Times New Roman" w:hAnsi="Times New Roman" w:eastAsia="仿宋" w:cs="Times New Roman"/>
          <w:b/>
          <w:bCs/>
          <w:sz w:val="24"/>
          <w:szCs w:val="28"/>
          <w:lang w:val="zh-CN" w:bidi="zh-CN"/>
        </w:rPr>
        <w:t>2）手工监测数据导入</w:t>
      </w:r>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sz w:val="24"/>
          <w:szCs w:val="28"/>
          <w:lang w:val="zh-CN" w:bidi="zh-CN"/>
        </w:rPr>
        <w:t>针对各类地下水手工监测数据，系统针对每类文件数据源定制相应的模板并提供模板解析功能。用户可将符合模板格式的数据文件快速上传到系统中，系统会自动检查文件格式并执行采集流程以完成手工监测数据的采集、处理及入库，同时支持入库数据的快速查看。</w:t>
      </w:r>
    </w:p>
    <w:p>
      <w:pPr>
        <w:snapToGrid w:val="0"/>
        <w:spacing w:line="360" w:lineRule="auto"/>
        <w:ind w:firstLine="480" w:firstLineChars="200"/>
        <w:rPr>
          <w:rFonts w:ascii="Times New Roman" w:hAnsi="Times New Roman" w:eastAsia="仿宋" w:cs="Times New Roman"/>
          <w:b/>
          <w:bCs/>
          <w:sz w:val="24"/>
          <w:szCs w:val="28"/>
          <w:lang w:val="zh-CN" w:bidi="zh-CN"/>
        </w:rPr>
      </w:pPr>
      <w:r>
        <w:rPr>
          <w:rFonts w:ascii="Times New Roman" w:hAnsi="Times New Roman" w:eastAsia="仿宋" w:cs="Times New Roman"/>
          <w:b/>
          <w:bCs/>
          <w:sz w:val="24"/>
          <w:szCs w:val="28"/>
          <w:lang w:val="zh-CN" w:bidi="zh-CN"/>
        </w:rPr>
        <w:t>（2）数据质量管理</w:t>
      </w:r>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sz w:val="24"/>
          <w:szCs w:val="28"/>
          <w:lang w:val="zh-CN" w:bidi="zh-CN"/>
        </w:rPr>
        <w:t>1）软件自动审核</w:t>
      </w:r>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sz w:val="24"/>
          <w:szCs w:val="28"/>
          <w:lang w:val="zh-CN" w:bidi="zh-CN"/>
        </w:rPr>
        <w:t>系统支持基于数据状态标识和预先设置的审核规则对自动监测设备上传的原始数据（小时数据）进行自动判断，设置数据的审核状态，实现数据有效性的自动审核。</w:t>
      </w:r>
    </w:p>
    <w:p>
      <w:pPr>
        <w:snapToGrid w:val="0"/>
        <w:spacing w:line="360" w:lineRule="auto"/>
        <w:ind w:firstLine="480" w:firstLineChars="200"/>
        <w:rPr>
          <w:rFonts w:ascii="Times New Roman" w:hAnsi="Times New Roman" w:eastAsia="仿宋" w:cs="Times New Roman"/>
          <w:b/>
          <w:bCs/>
          <w:sz w:val="24"/>
          <w:szCs w:val="28"/>
          <w:lang w:val="zh-CN" w:bidi="zh-CN"/>
        </w:rPr>
      </w:pPr>
      <w:r>
        <w:rPr>
          <w:rFonts w:ascii="Times New Roman" w:hAnsi="Times New Roman" w:eastAsia="仿宋" w:cs="Times New Roman"/>
          <w:b/>
          <w:bCs/>
          <w:sz w:val="24"/>
          <w:szCs w:val="28"/>
          <w:lang w:val="zh-CN" w:bidi="zh-CN"/>
        </w:rPr>
        <w:t>2）多级人工审核</w:t>
      </w:r>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sz w:val="24"/>
          <w:szCs w:val="28"/>
          <w:lang w:val="zh-CN" w:bidi="zh-CN"/>
        </w:rPr>
        <w:t>人工审核是指人工对经过自动审核后的监测数据（小时数据）再次进行数据有效性审核，以便去除异常数据。系统会对数据做出初步判断，对异常数据予以特殊标记，以供审核人员快速查看并审核。</w:t>
      </w:r>
    </w:p>
    <w:p>
      <w:pPr>
        <w:snapToGrid w:val="0"/>
        <w:spacing w:line="360" w:lineRule="auto"/>
        <w:ind w:firstLine="480" w:firstLineChars="200"/>
        <w:rPr>
          <w:rFonts w:ascii="Times New Roman" w:hAnsi="Times New Roman" w:eastAsia="仿宋" w:cs="Times New Roman"/>
          <w:b/>
          <w:bCs/>
          <w:sz w:val="24"/>
          <w:szCs w:val="28"/>
          <w:lang w:val="zh-CN" w:bidi="zh-CN"/>
        </w:rPr>
      </w:pPr>
      <w:r>
        <w:rPr>
          <w:rFonts w:ascii="Times New Roman" w:hAnsi="Times New Roman" w:eastAsia="仿宋" w:cs="Times New Roman"/>
          <w:b/>
          <w:bCs/>
          <w:sz w:val="24"/>
          <w:szCs w:val="28"/>
          <w:lang w:val="zh-CN" w:bidi="zh-CN"/>
        </w:rPr>
        <w:t>3）远程数据补遗</w:t>
      </w:r>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sz w:val="24"/>
          <w:szCs w:val="28"/>
          <w:lang w:val="zh-CN" w:bidi="zh-CN"/>
        </w:rPr>
        <w:t>针对因仪器运行所造成的监测数据丢失和样本不完整的情况，系统提供站点远程补遗功能，以便将缺失的数据从数采仪/工控机上重新补采。</w:t>
      </w:r>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sz w:val="24"/>
          <w:szCs w:val="28"/>
          <w:lang w:val="zh-CN" w:bidi="zh-CN"/>
        </w:rPr>
        <w:t>（3）地下水环境质量监测</w:t>
      </w:r>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sz w:val="24"/>
          <w:szCs w:val="28"/>
          <w:lang w:val="zh-CN" w:bidi="zh-CN"/>
        </w:rPr>
        <w:t>1）水质实况监测</w:t>
      </w:r>
    </w:p>
    <w:p>
      <w:pPr>
        <w:snapToGrid w:val="0"/>
        <w:spacing w:line="360" w:lineRule="auto"/>
        <w:ind w:firstLine="480" w:firstLineChars="200"/>
        <w:rPr>
          <w:rFonts w:ascii="Times New Roman" w:hAnsi="Times New Roman" w:eastAsia="仿宋" w:cs="Times New Roman"/>
          <w:b/>
          <w:bCs/>
          <w:sz w:val="24"/>
          <w:szCs w:val="28"/>
          <w:lang w:val="zh-CN" w:bidi="zh-CN"/>
        </w:rPr>
      </w:pPr>
      <w:r>
        <w:rPr>
          <w:rFonts w:ascii="Times New Roman" w:hAnsi="Times New Roman" w:eastAsia="仿宋" w:cs="Times New Roman"/>
          <w:b/>
          <w:bCs/>
          <w:sz w:val="24"/>
          <w:szCs w:val="28"/>
          <w:lang w:val="zh-CN" w:bidi="zh-CN"/>
        </w:rPr>
        <w:t>系统以实时一览表的形式集中监控所有地下水水质自动监测站的通讯状况（联网状况）、最新监测数据及数据状态，从而实时掌握所有自动监测站的运行状况。</w:t>
      </w:r>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b/>
          <w:bCs/>
          <w:sz w:val="24"/>
          <w:szCs w:val="28"/>
          <w:lang w:val="zh-CN" w:bidi="zh-CN"/>
        </w:rPr>
        <w:t>可根据区域、点位名称、联网状态等条件快速查询所关注的监测站，同时能汇总统计站点的联网率；对于异常的监测数据，系统会标识出其数据状态</w:t>
      </w:r>
      <w:r>
        <w:rPr>
          <w:rFonts w:ascii="Times New Roman" w:hAnsi="Times New Roman" w:eastAsia="仿宋" w:cs="Times New Roman"/>
          <w:sz w:val="24"/>
          <w:szCs w:val="28"/>
          <w:lang w:val="zh-CN" w:bidi="zh-CN"/>
        </w:rPr>
        <w:t>。</w:t>
      </w:r>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sz w:val="24"/>
          <w:szCs w:val="28"/>
          <w:lang w:val="zh-CN" w:bidi="zh-CN"/>
        </w:rPr>
        <w:t>2）自动监测数据查询</w:t>
      </w:r>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sz w:val="24"/>
          <w:szCs w:val="28"/>
          <w:lang w:val="zh-CN" w:bidi="zh-CN"/>
        </w:rPr>
        <w:t>针对各地下水质自动监测站的历史监测数据，可</w:t>
      </w:r>
      <w:r>
        <w:rPr>
          <w:rFonts w:ascii="Times New Roman" w:hAnsi="Times New Roman" w:eastAsia="仿宋" w:cs="Times New Roman"/>
          <w:b/>
          <w:bCs/>
          <w:sz w:val="24"/>
          <w:szCs w:val="28"/>
          <w:lang w:val="zh-CN" w:bidi="zh-CN"/>
        </w:rPr>
        <w:t>按站点、数据类型（原始数据、有效数据、日数据、月数据、年数据）、时间段进行快速查询，查询结果以表格的方式展示，同时可导出为Excel文件</w:t>
      </w:r>
      <w:r>
        <w:rPr>
          <w:rFonts w:ascii="Times New Roman" w:hAnsi="Times New Roman" w:eastAsia="仿宋" w:cs="Times New Roman"/>
          <w:sz w:val="24"/>
          <w:szCs w:val="28"/>
          <w:lang w:val="zh-CN" w:bidi="zh-CN"/>
        </w:rPr>
        <w:t>。</w:t>
      </w:r>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sz w:val="24"/>
          <w:szCs w:val="28"/>
          <w:lang w:val="zh-CN" w:bidi="zh-CN"/>
        </w:rPr>
        <w:t>3）手工监测数据查询</w:t>
      </w:r>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sz w:val="24"/>
          <w:szCs w:val="28"/>
          <w:lang w:val="zh-CN" w:bidi="zh-CN"/>
        </w:rPr>
        <w:t>针对系统采集入库的</w:t>
      </w:r>
      <w:r>
        <w:rPr>
          <w:rFonts w:ascii="Times New Roman" w:hAnsi="Times New Roman" w:eastAsia="仿宋" w:cs="Times New Roman"/>
          <w:b/>
          <w:bCs/>
          <w:sz w:val="24"/>
          <w:szCs w:val="28"/>
          <w:lang w:val="zh-CN" w:bidi="zh-CN"/>
        </w:rPr>
        <w:t>各类地下水手工监测数据，可按站点、时间段等条件进行快速查询，查询结果以表格的方式展示，同时可导出为Excel文件</w:t>
      </w:r>
      <w:r>
        <w:rPr>
          <w:rFonts w:ascii="Times New Roman" w:hAnsi="Times New Roman" w:eastAsia="仿宋" w:cs="Times New Roman"/>
          <w:sz w:val="24"/>
          <w:szCs w:val="28"/>
          <w:lang w:val="zh-CN" w:bidi="zh-CN"/>
        </w:rPr>
        <w:t>。</w:t>
      </w:r>
    </w:p>
    <w:p>
      <w:pPr>
        <w:spacing w:line="360" w:lineRule="auto"/>
        <w:ind w:firstLine="560" w:firstLineChars="200"/>
        <w:outlineLvl w:val="2"/>
        <w:rPr>
          <w:rFonts w:ascii="Times New Roman" w:hAnsi="Times New Roman" w:eastAsia="仿宋" w:cs="Times New Roman"/>
          <w:b/>
          <w:sz w:val="28"/>
          <w:szCs w:val="28"/>
        </w:rPr>
      </w:pPr>
      <w:bookmarkStart w:id="6" w:name="_Toc46495084"/>
      <w:bookmarkStart w:id="7" w:name="_Toc45878573"/>
      <w:bookmarkStart w:id="8" w:name="_Toc41322452"/>
      <w:bookmarkStart w:id="9" w:name="_Toc48164123"/>
      <w:r>
        <w:rPr>
          <w:rFonts w:hint="eastAsia" w:ascii="Times New Roman" w:hAnsi="Times New Roman" w:eastAsia="仿宋" w:cs="Times New Roman"/>
          <w:b/>
          <w:sz w:val="28"/>
          <w:szCs w:val="28"/>
          <w:lang w:val="en-US" w:eastAsia="zh-CN"/>
        </w:rPr>
        <w:t>1</w:t>
      </w:r>
      <w:r>
        <w:rPr>
          <w:rFonts w:ascii="Times New Roman" w:hAnsi="Times New Roman" w:eastAsia="仿宋" w:cs="Times New Roman"/>
          <w:b/>
          <w:sz w:val="28"/>
          <w:szCs w:val="28"/>
        </w:rPr>
        <w:t>.2.3 地下水预警及处置</w:t>
      </w:r>
      <w:bookmarkEnd w:id="6"/>
      <w:bookmarkEnd w:id="7"/>
      <w:r>
        <w:rPr>
          <w:rFonts w:ascii="Times New Roman" w:hAnsi="Times New Roman" w:eastAsia="仿宋" w:cs="Times New Roman"/>
          <w:b/>
          <w:sz w:val="28"/>
          <w:szCs w:val="28"/>
        </w:rPr>
        <w:t>功能</w:t>
      </w:r>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sz w:val="24"/>
          <w:szCs w:val="28"/>
          <w:lang w:val="zh-CN" w:bidi="zh-CN"/>
        </w:rPr>
        <w:t>为有效提升地下水环境风险预警能力，系统结合前端智能监测设备和数据分析能力，实时感知水环境变化，及时预警各类异常，实现环境问题“早发现、早报告、早处理”。</w:t>
      </w:r>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sz w:val="24"/>
          <w:szCs w:val="28"/>
          <w:lang w:val="zh-CN" w:bidi="zh-CN"/>
        </w:rPr>
        <w:t>（1）设备异常预警</w:t>
      </w:r>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b/>
          <w:bCs/>
          <w:sz w:val="24"/>
          <w:szCs w:val="28"/>
          <w:lang w:val="zh-CN" w:bidi="zh-CN"/>
        </w:rPr>
        <w:t>当前端监测监控设备出现故障或断线时，系统会按照预先设定的方式及时通知给相关人员。</w:t>
      </w:r>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sz w:val="24"/>
          <w:szCs w:val="28"/>
          <w:lang w:val="zh-CN" w:bidi="zh-CN"/>
        </w:rPr>
        <w:t>（2）水质监测预警</w:t>
      </w:r>
    </w:p>
    <w:p>
      <w:pPr>
        <w:snapToGrid w:val="0"/>
        <w:spacing w:line="360" w:lineRule="auto"/>
        <w:ind w:firstLine="480" w:firstLineChars="200"/>
        <w:rPr>
          <w:rFonts w:ascii="Times New Roman" w:hAnsi="Times New Roman" w:eastAsia="仿宋" w:cs="Times New Roman"/>
          <w:b/>
          <w:bCs/>
          <w:sz w:val="24"/>
          <w:szCs w:val="28"/>
          <w:lang w:val="zh-CN" w:bidi="zh-CN"/>
        </w:rPr>
      </w:pPr>
      <w:r>
        <w:rPr>
          <w:rFonts w:ascii="Times New Roman" w:hAnsi="Times New Roman" w:eastAsia="仿宋" w:cs="Times New Roman"/>
          <w:b/>
          <w:bCs/>
          <w:sz w:val="24"/>
          <w:szCs w:val="28"/>
          <w:lang w:val="zh-CN" w:bidi="zh-CN"/>
        </w:rPr>
        <w:t>1）数据超标预警</w:t>
      </w:r>
    </w:p>
    <w:p>
      <w:pPr>
        <w:snapToGrid w:val="0"/>
        <w:spacing w:line="360" w:lineRule="auto"/>
        <w:ind w:firstLine="480" w:firstLineChars="200"/>
        <w:rPr>
          <w:rFonts w:ascii="Times New Roman" w:hAnsi="Times New Roman" w:eastAsia="仿宋" w:cs="Times New Roman"/>
          <w:b/>
          <w:bCs/>
          <w:sz w:val="24"/>
          <w:szCs w:val="28"/>
          <w:lang w:val="zh-CN" w:bidi="zh-CN"/>
        </w:rPr>
      </w:pPr>
      <w:r>
        <w:rPr>
          <w:rFonts w:ascii="Times New Roman" w:hAnsi="Times New Roman" w:eastAsia="仿宋" w:cs="Times New Roman"/>
          <w:b/>
          <w:bCs/>
          <w:sz w:val="24"/>
          <w:szCs w:val="28"/>
          <w:lang w:val="zh-CN" w:bidi="zh-CN"/>
        </w:rPr>
        <w:t>系统采用大数据算法通过分析历史监测数据来识别本地水质污染特征，并基于此构建合理的预警指标体系，当站点的水质监测数据超过预警限值时系统会自动产生报警并及时通知给相关人员去处置。</w:t>
      </w:r>
    </w:p>
    <w:p>
      <w:pPr>
        <w:snapToGrid w:val="0"/>
        <w:spacing w:line="360" w:lineRule="auto"/>
        <w:ind w:firstLine="480" w:firstLineChars="200"/>
        <w:rPr>
          <w:rFonts w:ascii="Times New Roman" w:hAnsi="Times New Roman" w:eastAsia="仿宋" w:cs="Times New Roman"/>
          <w:sz w:val="24"/>
          <w:szCs w:val="28"/>
          <w:lang w:bidi="zh-CN"/>
        </w:rPr>
      </w:pPr>
      <w:r>
        <w:rPr>
          <w:rFonts w:hint="eastAsia" w:ascii="Times New Roman" w:hAnsi="Times New Roman" w:eastAsia="仿宋" w:cs="Times New Roman"/>
          <w:b/>
          <w:bCs/>
          <w:sz w:val="24"/>
          <w:szCs w:val="28"/>
          <w:lang w:val="zh-CN" w:bidi="zh-CN"/>
        </w:rPr>
        <w:t>本次地下水指标所用限值以《地下水质量标准》（GB</w:t>
      </w:r>
      <w:r>
        <w:rPr>
          <w:rFonts w:ascii="Times New Roman" w:hAnsi="Times New Roman" w:eastAsia="仿宋" w:cs="Times New Roman"/>
          <w:b/>
          <w:bCs/>
          <w:sz w:val="24"/>
          <w:szCs w:val="28"/>
          <w:lang w:val="zh-CN" w:bidi="zh-CN"/>
        </w:rPr>
        <w:t>/T 14848-2017</w:t>
      </w:r>
      <w:r>
        <w:rPr>
          <w:rFonts w:hint="eastAsia" w:ascii="Times New Roman" w:hAnsi="Times New Roman" w:eastAsia="仿宋" w:cs="Times New Roman"/>
          <w:b/>
          <w:bCs/>
          <w:sz w:val="24"/>
          <w:szCs w:val="28"/>
          <w:lang w:val="zh-CN" w:bidi="zh-CN"/>
        </w:rPr>
        <w:t>）中Ⅳ类限值为准；对于上述标准中未包含的指标，则以《地表水环境质量标准》（GB3838-2022）中，Ⅳ类标准为准。</w:t>
      </w:r>
    </w:p>
    <w:p>
      <w:pPr>
        <w:snapToGrid w:val="0"/>
        <w:spacing w:line="360" w:lineRule="auto"/>
        <w:ind w:firstLine="480" w:firstLineChars="200"/>
        <w:rPr>
          <w:rFonts w:ascii="Times New Roman" w:hAnsi="Times New Roman" w:eastAsia="仿宋" w:cs="Times New Roman"/>
          <w:b/>
          <w:bCs/>
          <w:sz w:val="24"/>
          <w:szCs w:val="28"/>
          <w:lang w:val="zh-CN" w:bidi="zh-CN"/>
        </w:rPr>
      </w:pPr>
      <w:r>
        <w:rPr>
          <w:rFonts w:ascii="Times New Roman" w:hAnsi="Times New Roman" w:eastAsia="仿宋" w:cs="Times New Roman"/>
          <w:b/>
          <w:bCs/>
          <w:sz w:val="24"/>
          <w:szCs w:val="28"/>
          <w:lang w:val="zh-CN" w:bidi="zh-CN"/>
        </w:rPr>
        <w:t>2）超历史最高预警</w:t>
      </w:r>
    </w:p>
    <w:p>
      <w:pPr>
        <w:snapToGrid w:val="0"/>
        <w:spacing w:line="360" w:lineRule="auto"/>
        <w:ind w:firstLine="480" w:firstLineChars="200"/>
        <w:rPr>
          <w:rFonts w:ascii="Times New Roman" w:hAnsi="Times New Roman" w:eastAsia="仿宋" w:cs="Times New Roman"/>
          <w:b/>
          <w:bCs/>
          <w:sz w:val="24"/>
          <w:szCs w:val="28"/>
          <w:lang w:val="zh-CN" w:bidi="zh-CN"/>
        </w:rPr>
      </w:pPr>
      <w:r>
        <w:rPr>
          <w:rFonts w:ascii="Times New Roman" w:hAnsi="Times New Roman" w:eastAsia="仿宋" w:cs="Times New Roman"/>
          <w:b/>
          <w:bCs/>
          <w:sz w:val="24"/>
          <w:szCs w:val="28"/>
          <w:lang w:val="zh-CN" w:bidi="zh-CN"/>
        </w:rPr>
        <w:t>系统针对各个自动站监测数据，实时比对各监测因子的历史最高值，若实时数据超过历史最高监测数据，系统则自动预警，并通知相关负责人。</w:t>
      </w:r>
    </w:p>
    <w:p>
      <w:pPr>
        <w:snapToGrid w:val="0"/>
        <w:spacing w:line="360" w:lineRule="auto"/>
        <w:ind w:firstLine="480" w:firstLineChars="200"/>
        <w:rPr>
          <w:rFonts w:ascii="Times New Roman" w:hAnsi="Times New Roman" w:eastAsia="仿宋" w:cs="Times New Roman"/>
          <w:b/>
          <w:bCs/>
          <w:sz w:val="24"/>
          <w:szCs w:val="28"/>
          <w:lang w:val="zh-CN" w:bidi="zh-CN"/>
        </w:rPr>
      </w:pPr>
      <w:r>
        <w:rPr>
          <w:rFonts w:ascii="Times New Roman" w:hAnsi="Times New Roman" w:eastAsia="仿宋" w:cs="Times New Roman"/>
          <w:b/>
          <w:bCs/>
          <w:sz w:val="24"/>
          <w:szCs w:val="28"/>
          <w:lang w:val="zh-CN" w:bidi="zh-CN"/>
        </w:rPr>
        <w:t>3）未达考核目标预警</w:t>
      </w:r>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b/>
          <w:bCs/>
          <w:sz w:val="24"/>
          <w:szCs w:val="28"/>
          <w:lang w:val="zh-CN" w:bidi="zh-CN"/>
        </w:rPr>
        <w:t>针对</w:t>
      </w:r>
      <w:r>
        <w:rPr>
          <w:rFonts w:hint="eastAsia" w:ascii="Times New Roman" w:hAnsi="Times New Roman" w:eastAsia="仿宋" w:cs="Times New Roman"/>
          <w:b/>
          <w:bCs/>
          <w:sz w:val="24"/>
          <w:szCs w:val="28"/>
          <w:lang w:val="zh-CN" w:bidi="zh-CN"/>
        </w:rPr>
        <w:t>国家和区域</w:t>
      </w:r>
      <w:r>
        <w:rPr>
          <w:rFonts w:ascii="Times New Roman" w:hAnsi="Times New Roman" w:eastAsia="仿宋" w:cs="Times New Roman"/>
          <w:b/>
          <w:bCs/>
          <w:sz w:val="24"/>
          <w:szCs w:val="28"/>
          <w:lang w:val="zh-CN" w:bidi="zh-CN"/>
        </w:rPr>
        <w:t>地下水水质考核点位，系统实时计算各个评价指标的年度累积日均值，采用单因子评价法计算出该考核点位的水质类别。同时对照该考核点位的年度目标水质类别，若点位的现状水质超过目标类别，则视为未达标，系统自动给出预警，并指出其影响水质的主要影响指标。</w:t>
      </w:r>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sz w:val="24"/>
          <w:szCs w:val="28"/>
          <w:lang w:val="zh-CN" w:bidi="zh-CN"/>
        </w:rPr>
        <w:t>（3）污染监控预警</w:t>
      </w:r>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b/>
          <w:bCs/>
          <w:sz w:val="24"/>
          <w:szCs w:val="28"/>
          <w:lang w:val="zh-CN" w:bidi="zh-CN"/>
        </w:rPr>
        <w:t>1）污染浓度超标预警</w:t>
      </w:r>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sz w:val="24"/>
          <w:szCs w:val="28"/>
          <w:lang w:val="zh-CN" w:bidi="zh-CN"/>
        </w:rPr>
        <w:t>当站点的污染监测数据超过预警限值时系统会自动产生报警并及时通知给相关人员去处置。</w:t>
      </w:r>
    </w:p>
    <w:p>
      <w:pPr>
        <w:snapToGrid w:val="0"/>
        <w:spacing w:line="360" w:lineRule="auto"/>
        <w:ind w:firstLine="480" w:firstLineChars="200"/>
        <w:rPr>
          <w:rFonts w:ascii="Times New Roman" w:hAnsi="Times New Roman" w:eastAsia="仿宋" w:cs="Times New Roman"/>
          <w:b/>
          <w:bCs/>
          <w:sz w:val="24"/>
          <w:szCs w:val="28"/>
          <w:lang w:val="zh-CN" w:bidi="zh-CN"/>
        </w:rPr>
      </w:pPr>
      <w:r>
        <w:rPr>
          <w:rFonts w:ascii="Times New Roman" w:hAnsi="Times New Roman" w:eastAsia="仿宋" w:cs="Times New Roman"/>
          <w:b/>
          <w:bCs/>
          <w:sz w:val="24"/>
          <w:szCs w:val="28"/>
          <w:lang w:val="zh-CN" w:bidi="zh-CN"/>
        </w:rPr>
        <w:t>2）污染浓度趋势预警</w:t>
      </w:r>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sz w:val="24"/>
          <w:szCs w:val="28"/>
          <w:lang w:val="zh-CN" w:bidi="zh-CN"/>
        </w:rPr>
        <w:t>当</w:t>
      </w:r>
      <w:r>
        <w:rPr>
          <w:rFonts w:hint="eastAsia" w:ascii="Times New Roman" w:hAnsi="Times New Roman" w:eastAsia="仿宋" w:cs="Times New Roman"/>
          <w:sz w:val="24"/>
          <w:szCs w:val="28"/>
          <w:lang w:val="zh-CN" w:bidi="zh-CN"/>
        </w:rPr>
        <w:t>监测点位</w:t>
      </w:r>
      <w:r>
        <w:rPr>
          <w:rFonts w:ascii="Times New Roman" w:hAnsi="Times New Roman" w:eastAsia="仿宋" w:cs="Times New Roman"/>
          <w:sz w:val="24"/>
          <w:szCs w:val="28"/>
          <w:lang w:val="zh-CN" w:bidi="zh-CN"/>
        </w:rPr>
        <w:t>监测因子浓度超过去年同期100%及以上时，触发趋势性预警提示。</w:t>
      </w:r>
    </w:p>
    <w:p>
      <w:pPr>
        <w:snapToGrid w:val="0"/>
        <w:spacing w:line="360" w:lineRule="auto"/>
        <w:ind w:firstLine="480" w:firstLineChars="200"/>
        <w:rPr>
          <w:rFonts w:ascii="Times New Roman" w:hAnsi="Times New Roman" w:eastAsia="仿宋" w:cs="Times New Roman"/>
          <w:b/>
          <w:bCs/>
          <w:sz w:val="24"/>
          <w:szCs w:val="28"/>
          <w:lang w:val="zh-CN" w:bidi="zh-CN"/>
        </w:rPr>
      </w:pPr>
      <w:r>
        <w:rPr>
          <w:rFonts w:ascii="Times New Roman" w:hAnsi="Times New Roman" w:eastAsia="仿宋" w:cs="Times New Roman"/>
          <w:b/>
          <w:bCs/>
          <w:sz w:val="24"/>
          <w:szCs w:val="28"/>
          <w:lang w:val="zh-CN" w:bidi="zh-CN"/>
        </w:rPr>
        <w:t>3）污染浓度</w:t>
      </w:r>
      <w:r>
        <w:rPr>
          <w:rFonts w:hint="eastAsia" w:ascii="Times New Roman" w:hAnsi="Times New Roman" w:eastAsia="仿宋" w:cs="Times New Roman"/>
          <w:b/>
          <w:bCs/>
          <w:sz w:val="24"/>
          <w:szCs w:val="28"/>
          <w:lang w:val="zh-CN" w:bidi="zh-CN"/>
        </w:rPr>
        <w:t>超对照点预警</w:t>
      </w:r>
    </w:p>
    <w:p>
      <w:pPr>
        <w:snapToGrid w:val="0"/>
        <w:spacing w:line="360" w:lineRule="auto"/>
        <w:ind w:firstLine="480" w:firstLineChars="200"/>
        <w:rPr>
          <w:rFonts w:ascii="Times New Roman" w:hAnsi="Times New Roman" w:eastAsia="仿宋" w:cs="Times New Roman"/>
          <w:sz w:val="24"/>
          <w:szCs w:val="28"/>
          <w:lang w:val="zh-CN" w:bidi="zh-CN"/>
        </w:rPr>
      </w:pPr>
      <w:r>
        <w:rPr>
          <w:rFonts w:hint="eastAsia" w:ascii="Times New Roman" w:hAnsi="Times New Roman" w:eastAsia="仿宋" w:cs="Times New Roman"/>
          <w:sz w:val="24"/>
          <w:szCs w:val="28"/>
          <w:lang w:val="zh-CN" w:bidi="zh-CN"/>
        </w:rPr>
        <w:t>当监测点位监测因子浓度超对照点位浓度1</w:t>
      </w:r>
      <w:r>
        <w:rPr>
          <w:rFonts w:ascii="Times New Roman" w:hAnsi="Times New Roman" w:eastAsia="仿宋" w:cs="Times New Roman"/>
          <w:sz w:val="24"/>
          <w:szCs w:val="28"/>
          <w:lang w:val="zh-CN" w:bidi="zh-CN"/>
        </w:rPr>
        <w:t>00%</w:t>
      </w:r>
      <w:r>
        <w:rPr>
          <w:rFonts w:hint="eastAsia" w:ascii="Times New Roman" w:hAnsi="Times New Roman" w:eastAsia="仿宋" w:cs="Times New Roman"/>
          <w:sz w:val="24"/>
          <w:szCs w:val="28"/>
          <w:lang w:val="zh-CN" w:bidi="zh-CN"/>
        </w:rPr>
        <w:t>以上时，触发污染预警，提醒管理人员进行原因排查。</w:t>
      </w:r>
    </w:p>
    <w:bookmarkEnd w:id="8"/>
    <w:bookmarkEnd w:id="9"/>
    <w:p>
      <w:pPr>
        <w:spacing w:line="360" w:lineRule="auto"/>
        <w:ind w:firstLine="560" w:firstLineChars="200"/>
        <w:outlineLvl w:val="2"/>
        <w:rPr>
          <w:rFonts w:ascii="Times New Roman" w:hAnsi="Times New Roman" w:eastAsia="仿宋" w:cs="Times New Roman"/>
          <w:b/>
          <w:sz w:val="28"/>
          <w:szCs w:val="28"/>
        </w:rPr>
      </w:pPr>
      <w:r>
        <w:rPr>
          <w:rFonts w:hint="eastAsia" w:ascii="Times New Roman" w:hAnsi="Times New Roman" w:eastAsia="仿宋" w:cs="Times New Roman"/>
          <w:b/>
          <w:sz w:val="28"/>
          <w:szCs w:val="28"/>
          <w:lang w:val="en-US" w:eastAsia="zh-CN"/>
        </w:rPr>
        <w:t>1</w:t>
      </w:r>
      <w:r>
        <w:rPr>
          <w:rFonts w:ascii="Times New Roman" w:hAnsi="Times New Roman" w:eastAsia="仿宋" w:cs="Times New Roman"/>
          <w:b/>
          <w:sz w:val="28"/>
          <w:szCs w:val="28"/>
        </w:rPr>
        <w:t>.2.4 园区地下水数据综合分析</w:t>
      </w:r>
    </w:p>
    <w:p>
      <w:pPr>
        <w:snapToGrid w:val="0"/>
        <w:spacing w:line="360" w:lineRule="auto"/>
        <w:ind w:firstLine="480" w:firstLineChars="200"/>
        <w:rPr>
          <w:rFonts w:ascii="Times New Roman" w:hAnsi="Times New Roman" w:eastAsia="仿宋" w:cs="Times New Roman"/>
          <w:b/>
          <w:bCs/>
          <w:sz w:val="24"/>
          <w:szCs w:val="28"/>
          <w:lang w:val="zh-CN" w:bidi="zh-CN"/>
        </w:rPr>
      </w:pPr>
      <w:bookmarkStart w:id="10" w:name="_Toc48164124"/>
      <w:bookmarkStart w:id="11" w:name="_Toc41322453"/>
      <w:r>
        <w:rPr>
          <w:rFonts w:ascii="Times New Roman" w:hAnsi="Times New Roman" w:eastAsia="仿宋" w:cs="Times New Roman"/>
          <w:b/>
          <w:bCs/>
          <w:sz w:val="24"/>
          <w:szCs w:val="28"/>
          <w:lang w:val="zh-CN" w:bidi="zh-CN"/>
        </w:rPr>
        <w:t>（1）水质达标评价</w:t>
      </w:r>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sz w:val="24"/>
          <w:szCs w:val="28"/>
          <w:lang w:val="zh-CN" w:bidi="zh-CN"/>
        </w:rPr>
        <w:t>平台依据地下水质量标准(GBT14848-2017)和有关技术规范，按照环境质量评价办法对所关注区域的地下水水质状况进行评价，以图表直观展示水质目标达成情况、水质类别占比及主要污染指标。</w:t>
      </w:r>
    </w:p>
    <w:p>
      <w:pPr>
        <w:snapToGrid w:val="0"/>
        <w:spacing w:line="360" w:lineRule="auto"/>
        <w:ind w:firstLine="480" w:firstLineChars="200"/>
        <w:rPr>
          <w:rFonts w:ascii="Times New Roman" w:hAnsi="Times New Roman" w:eastAsia="仿宋" w:cs="Times New Roman"/>
          <w:b/>
          <w:bCs/>
          <w:sz w:val="24"/>
          <w:szCs w:val="28"/>
          <w:lang w:val="zh-CN" w:bidi="zh-CN"/>
        </w:rPr>
      </w:pPr>
      <w:r>
        <w:rPr>
          <w:rFonts w:ascii="Times New Roman" w:hAnsi="Times New Roman" w:eastAsia="仿宋" w:cs="Times New Roman"/>
          <w:b/>
          <w:bCs/>
          <w:sz w:val="24"/>
          <w:szCs w:val="28"/>
          <w:lang w:val="zh-CN" w:bidi="zh-CN"/>
        </w:rPr>
        <w:t>（2）水质污染日历</w:t>
      </w:r>
    </w:p>
    <w:p>
      <w:pPr>
        <w:widowControl w:val="0"/>
        <w:spacing w:after="120" w:afterLines="50" w:line="360" w:lineRule="auto"/>
        <w:ind w:firstLine="480" w:firstLineChars="200"/>
        <w:jc w:val="both"/>
        <w:rPr>
          <w:rFonts w:ascii="Times New Roman" w:hAnsi="Times New Roman" w:eastAsia="仿宋" w:cs="Times New Roman"/>
          <w:b/>
          <w:kern w:val="2"/>
          <w:sz w:val="21"/>
          <w:szCs w:val="22"/>
          <w:lang w:val="en-US" w:eastAsia="zh-CN" w:bidi="ar-SA"/>
        </w:rPr>
      </w:pPr>
      <w:r>
        <w:rPr>
          <w:rFonts w:ascii="Times New Roman" w:hAnsi="Times New Roman" w:eastAsia="仿宋" w:cs="Times New Roman"/>
          <w:sz w:val="24"/>
          <w:szCs w:val="28"/>
          <w:lang w:val="zh-CN" w:bidi="zh-CN"/>
        </w:rPr>
        <w:t>针对地下水自动监测站点的水质状况和达标情况，系统以日历表格的方式进行直观展示，采用不同颜色来表征不同水质类别或水质达标情况，帮助用户了解该站点是否存在长期常态性的污染。</w:t>
      </w:r>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sz w:val="24"/>
          <w:szCs w:val="28"/>
          <w:lang w:val="zh-CN" w:bidi="zh-CN"/>
        </w:rPr>
        <w:t>（3）时序变化特征</w:t>
      </w:r>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sz w:val="24"/>
          <w:szCs w:val="28"/>
          <w:lang w:val="zh-CN" w:bidi="zh-CN"/>
        </w:rPr>
        <w:t>基于地下水站点监测数据提供如月、季、年等不同时间维度水质评价及各污染因子趋势分析图查询功能，并运用大数据统计手段分析站点各月份数据特征，展示各月份各污染物水质类别分布情况，帮助用户识别出是否存在某时间点的常态污染。</w:t>
      </w:r>
    </w:p>
    <w:p>
      <w:pPr>
        <w:snapToGrid w:val="0"/>
        <w:spacing w:line="360" w:lineRule="auto"/>
        <w:ind w:firstLine="480" w:firstLineChars="200"/>
        <w:rPr>
          <w:rFonts w:ascii="Times New Roman" w:hAnsi="Times New Roman" w:eastAsia="仿宋" w:cs="Times New Roman"/>
          <w:b/>
          <w:bCs/>
          <w:sz w:val="24"/>
          <w:szCs w:val="28"/>
          <w:lang w:val="zh-CN" w:bidi="zh-CN"/>
        </w:rPr>
      </w:pPr>
      <w:r>
        <w:rPr>
          <w:rFonts w:ascii="Times New Roman" w:hAnsi="Times New Roman" w:eastAsia="仿宋" w:cs="Times New Roman"/>
          <w:b/>
          <w:bCs/>
          <w:sz w:val="24"/>
          <w:szCs w:val="28"/>
          <w:lang w:val="zh-CN" w:bidi="zh-CN"/>
        </w:rPr>
        <w:t>（4）水质同比环比</w:t>
      </w:r>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sz w:val="24"/>
          <w:szCs w:val="28"/>
          <w:lang w:val="zh-CN" w:bidi="zh-CN"/>
        </w:rPr>
        <w:t>基于地下水站点监测数据，系统提供不同时间维度的各监测因子数据同比环比功能，通过选定不同的时间统计方式（如月、年）及要对比的时段，选择某个站点，系统会以图表直观展示该站点所选监测因子在不同时段的同比环比情况，从而帮助用户了解站点水质在时间维度上的变化情况。</w:t>
      </w:r>
    </w:p>
    <w:p>
      <w:pPr>
        <w:snapToGrid w:val="0"/>
        <w:spacing w:line="360" w:lineRule="auto"/>
        <w:ind w:firstLine="480" w:firstLineChars="200"/>
        <w:rPr>
          <w:rFonts w:ascii="Times New Roman" w:hAnsi="Times New Roman" w:eastAsia="仿宋" w:cs="Times New Roman"/>
          <w:b/>
          <w:bCs/>
          <w:sz w:val="24"/>
          <w:szCs w:val="28"/>
          <w:lang w:val="zh-CN" w:bidi="zh-CN"/>
        </w:rPr>
      </w:pPr>
      <w:r>
        <w:rPr>
          <w:rFonts w:ascii="Times New Roman" w:hAnsi="Times New Roman" w:eastAsia="仿宋" w:cs="Times New Roman"/>
          <w:b/>
          <w:bCs/>
          <w:sz w:val="24"/>
          <w:szCs w:val="28"/>
          <w:lang w:val="zh-CN" w:bidi="zh-CN"/>
        </w:rPr>
        <w:t>（5）多维横向对比</w:t>
      </w:r>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sz w:val="24"/>
          <w:szCs w:val="28"/>
          <w:lang w:val="zh-CN" w:bidi="zh-CN"/>
        </w:rPr>
        <w:t>提供统计站点-站点、区域-区域之间达标比例、地下水水质状况横向对比功能，帮助用户识别站点-站点、区域-区域之间的差距及关联关系。支持站点、区域等多维度统计分析。</w:t>
      </w:r>
    </w:p>
    <w:bookmarkEnd w:id="10"/>
    <w:bookmarkEnd w:id="11"/>
    <w:p>
      <w:pPr>
        <w:spacing w:line="360" w:lineRule="auto"/>
        <w:ind w:firstLine="420" w:firstLineChars="150"/>
        <w:outlineLvl w:val="1"/>
        <w:rPr>
          <w:rFonts w:ascii="Times New Roman" w:hAnsi="Times New Roman" w:eastAsia="楷体" w:cs="Times New Roman"/>
          <w:b/>
          <w:sz w:val="24"/>
        </w:rPr>
      </w:pPr>
      <w:bookmarkStart w:id="12" w:name="_Toc106780428"/>
      <w:bookmarkStart w:id="13" w:name="_Toc138617540"/>
      <w:r>
        <w:rPr>
          <w:rFonts w:hint="eastAsia" w:ascii="Times New Roman" w:hAnsi="Times New Roman" w:eastAsia="楷体" w:cs="Times New Roman"/>
          <w:b/>
          <w:color w:val="000000"/>
          <w:sz w:val="28"/>
          <w:szCs w:val="28"/>
          <w:lang w:val="en-US" w:eastAsia="zh-CN"/>
        </w:rPr>
        <w:t>1</w:t>
      </w:r>
      <w:r>
        <w:rPr>
          <w:rFonts w:hint="default" w:ascii="Times New Roman" w:hAnsi="Times New Roman" w:eastAsia="楷体" w:cs="Times New Roman"/>
          <w:b/>
          <w:color w:val="000000"/>
          <w:sz w:val="28"/>
          <w:szCs w:val="28"/>
        </w:rPr>
        <w:t xml:space="preserve">.3 </w:t>
      </w:r>
      <w:bookmarkEnd w:id="12"/>
      <w:r>
        <w:rPr>
          <w:rFonts w:hint="default" w:ascii="Times New Roman" w:hAnsi="Times New Roman" w:eastAsia="楷体" w:cs="Times New Roman"/>
          <w:b/>
          <w:color w:val="000000"/>
          <w:sz w:val="28"/>
          <w:szCs w:val="28"/>
        </w:rPr>
        <w:t>信息化监管系统功能</w:t>
      </w:r>
      <w:bookmarkEnd w:id="13"/>
    </w:p>
    <w:p>
      <w:pPr>
        <w:spacing w:line="360" w:lineRule="auto"/>
        <w:ind w:firstLine="560" w:firstLineChars="200"/>
        <w:outlineLvl w:val="2"/>
        <w:rPr>
          <w:rFonts w:ascii="Times New Roman" w:hAnsi="Times New Roman" w:eastAsia="仿宋" w:cs="Times New Roman"/>
          <w:b/>
          <w:sz w:val="28"/>
          <w:szCs w:val="28"/>
        </w:rPr>
      </w:pPr>
      <w:bookmarkStart w:id="14" w:name="_Toc41574807"/>
      <w:bookmarkStart w:id="15" w:name="_Toc41322445"/>
      <w:r>
        <w:rPr>
          <w:rFonts w:hint="eastAsia" w:ascii="Times New Roman" w:hAnsi="Times New Roman" w:eastAsia="仿宋" w:cs="Times New Roman"/>
          <w:b/>
          <w:sz w:val="28"/>
          <w:szCs w:val="28"/>
          <w:lang w:val="en-US" w:eastAsia="zh-CN"/>
        </w:rPr>
        <w:t>1</w:t>
      </w:r>
      <w:r>
        <w:rPr>
          <w:rFonts w:ascii="Times New Roman" w:hAnsi="Times New Roman" w:eastAsia="仿宋" w:cs="Times New Roman"/>
          <w:b/>
          <w:sz w:val="28"/>
          <w:szCs w:val="28"/>
        </w:rPr>
        <w:t>.3.1 主界面</w:t>
      </w:r>
    </w:p>
    <w:p>
      <w:pPr>
        <w:keepNext w:val="0"/>
        <w:keepLines w:val="0"/>
        <w:pageBreakBefore w:val="0"/>
        <w:widowControl w:val="0"/>
        <w:kinsoku/>
        <w:wordWrap/>
        <w:overflowPunct/>
        <w:topLinePunct w:val="0"/>
        <w:autoSpaceDE/>
        <w:autoSpaceDN/>
        <w:bidi w:val="0"/>
        <w:adjustRightInd/>
        <w:snapToGrid/>
        <w:spacing w:after="120" w:afterLines="50" w:line="360" w:lineRule="auto"/>
        <w:ind w:firstLine="480" w:firstLineChars="200"/>
        <w:jc w:val="both"/>
        <w:textAlignment w:val="auto"/>
        <w:rPr>
          <w:rFonts w:ascii="Times New Roman" w:hAnsi="Times New Roman" w:eastAsia="仿宋" w:cs="Times New Roman"/>
          <w:b/>
          <w:kern w:val="2"/>
          <w:sz w:val="21"/>
          <w:szCs w:val="22"/>
          <w:lang w:val="en-US" w:eastAsia="zh-CN" w:bidi="ar-SA"/>
        </w:rPr>
      </w:pPr>
      <w:r>
        <w:rPr>
          <w:rFonts w:ascii="Times New Roman" w:hAnsi="Times New Roman" w:eastAsia="仿宋" w:cs="Times New Roman"/>
          <w:sz w:val="24"/>
          <w:szCs w:val="28"/>
          <w:lang w:val="zh-CN" w:bidi="zh-CN"/>
        </w:rPr>
        <w:t>面向生态环境领导级用户，围绕目标达成情况、水质现状、污染特征分析、污染防治任务推进情况等全方位展示所关注区域的地下水环境状况，并基于GIS地图直观展现地下水环境管理的异常信息以便及时处置。</w:t>
      </w:r>
    </w:p>
    <w:bookmarkEnd w:id="14"/>
    <w:bookmarkEnd w:id="15"/>
    <w:p>
      <w:pPr>
        <w:spacing w:line="360" w:lineRule="auto"/>
        <w:ind w:firstLine="560" w:firstLineChars="200"/>
        <w:outlineLvl w:val="2"/>
        <w:rPr>
          <w:rFonts w:ascii="Times New Roman" w:hAnsi="Times New Roman" w:eastAsia="仿宋" w:cs="Times New Roman"/>
          <w:b/>
          <w:sz w:val="28"/>
          <w:szCs w:val="28"/>
        </w:rPr>
      </w:pPr>
      <w:bookmarkStart w:id="16" w:name="_Toc106780430"/>
      <w:bookmarkStart w:id="17" w:name="_Toc41574808"/>
      <w:bookmarkStart w:id="18" w:name="_Toc41322446"/>
      <w:r>
        <w:rPr>
          <w:rFonts w:hint="eastAsia" w:ascii="Times New Roman" w:hAnsi="Times New Roman" w:eastAsia="仿宋" w:cs="Times New Roman"/>
          <w:b/>
          <w:sz w:val="28"/>
          <w:szCs w:val="28"/>
          <w:lang w:val="en-US" w:eastAsia="zh-CN"/>
        </w:rPr>
        <w:t>1</w:t>
      </w:r>
      <w:r>
        <w:rPr>
          <w:rFonts w:ascii="Times New Roman" w:hAnsi="Times New Roman" w:eastAsia="仿宋" w:cs="Times New Roman"/>
          <w:b/>
          <w:sz w:val="28"/>
          <w:szCs w:val="28"/>
        </w:rPr>
        <w:t>.3.2 地下水资料一张图</w:t>
      </w:r>
      <w:bookmarkEnd w:id="16"/>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sz w:val="24"/>
          <w:szCs w:val="28"/>
          <w:lang w:val="zh-CN" w:bidi="zh-CN"/>
        </w:rPr>
        <w:t>整合各类</w:t>
      </w:r>
      <w:r>
        <w:rPr>
          <w:rFonts w:ascii="Times New Roman" w:hAnsi="Times New Roman" w:eastAsia="仿宋" w:cs="Times New Roman"/>
          <w:b/>
          <w:bCs/>
          <w:sz w:val="24"/>
          <w:szCs w:val="28"/>
          <w:lang w:val="zh-CN" w:bidi="zh-CN"/>
        </w:rPr>
        <w:t>水环境基础设施、监测设备、污染源等信息</w:t>
      </w:r>
      <w:r>
        <w:rPr>
          <w:rFonts w:ascii="Times New Roman" w:hAnsi="Times New Roman" w:eastAsia="仿宋" w:cs="Times New Roman"/>
          <w:sz w:val="24"/>
          <w:szCs w:val="28"/>
          <w:lang w:val="zh-CN" w:bidi="zh-CN"/>
        </w:rPr>
        <w:t>，并基于GIS地图直观展示，帮助用户快速了解各环境要素的空间分布、数据详情及管理现状，并基于预先设置的预警规则快速识别出异常要素，同时提供环境要素详情查看、多维分析、视频监控等功能，助力水环境管理智慧化。</w:t>
      </w:r>
    </w:p>
    <w:bookmarkEnd w:id="17"/>
    <w:bookmarkEnd w:id="18"/>
    <w:p>
      <w:pPr>
        <w:spacing w:line="360" w:lineRule="auto"/>
        <w:ind w:firstLine="560" w:firstLineChars="200"/>
        <w:outlineLvl w:val="2"/>
        <w:rPr>
          <w:rFonts w:ascii="Times New Roman" w:hAnsi="Times New Roman" w:eastAsia="仿宋" w:cs="Times New Roman"/>
          <w:b/>
          <w:sz w:val="28"/>
          <w:szCs w:val="28"/>
        </w:rPr>
      </w:pPr>
      <w:bookmarkStart w:id="19" w:name="_Toc106780431"/>
      <w:bookmarkStart w:id="20" w:name="_Toc41574809"/>
      <w:bookmarkStart w:id="21" w:name="_Toc41322447"/>
      <w:r>
        <w:rPr>
          <w:rFonts w:hint="eastAsia" w:ascii="Times New Roman" w:hAnsi="Times New Roman" w:eastAsia="仿宋" w:cs="Times New Roman"/>
          <w:b/>
          <w:sz w:val="28"/>
          <w:szCs w:val="28"/>
          <w:lang w:val="en-US" w:eastAsia="zh-CN"/>
        </w:rPr>
        <w:t>1</w:t>
      </w:r>
      <w:r>
        <w:rPr>
          <w:rFonts w:ascii="Times New Roman" w:hAnsi="Times New Roman" w:eastAsia="仿宋" w:cs="Times New Roman"/>
          <w:b/>
          <w:sz w:val="28"/>
          <w:szCs w:val="28"/>
        </w:rPr>
        <w:t>.3.3 地下水水质态势感知</w:t>
      </w:r>
      <w:bookmarkEnd w:id="19"/>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sz w:val="24"/>
          <w:szCs w:val="28"/>
          <w:lang w:val="zh-CN" w:bidi="zh-CN"/>
        </w:rPr>
        <w:t>以GIS地图直观展示所有地下水水质监测点的点位空间分布、实时水质状况及历史水质时空动态变化，进而帮助用户及时、准确地掌握监测点位的水质状况和动态变化趋势。</w:t>
      </w:r>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sz w:val="24"/>
          <w:szCs w:val="28"/>
          <w:lang w:val="zh-CN" w:bidi="zh-CN"/>
        </w:rPr>
        <w:t>可结合图表直观展示所关注区域或水体的监测点水质类别比例、监测点达标率、同比变化情况等。</w:t>
      </w:r>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sz w:val="24"/>
          <w:szCs w:val="28"/>
          <w:lang w:val="zh-CN" w:bidi="zh-CN"/>
        </w:rPr>
        <w:t>选择某个监测点，还可进一步查看该监测点的水质详情，包括监测点基本信息、监测点水质多维度分析等。</w:t>
      </w:r>
    </w:p>
    <w:p>
      <w:pPr>
        <w:spacing w:line="360" w:lineRule="auto"/>
        <w:ind w:firstLine="560" w:firstLineChars="200"/>
        <w:outlineLvl w:val="2"/>
        <w:rPr>
          <w:rFonts w:ascii="Times New Roman" w:hAnsi="Times New Roman" w:eastAsia="仿宋" w:cs="Times New Roman"/>
          <w:b/>
          <w:sz w:val="28"/>
          <w:szCs w:val="28"/>
        </w:rPr>
      </w:pPr>
      <w:bookmarkStart w:id="22" w:name="_Toc106780432"/>
      <w:r>
        <w:rPr>
          <w:rFonts w:hint="eastAsia" w:ascii="Times New Roman" w:hAnsi="Times New Roman" w:eastAsia="仿宋" w:cs="Times New Roman"/>
          <w:b/>
          <w:sz w:val="28"/>
          <w:szCs w:val="28"/>
          <w:lang w:val="en-US" w:eastAsia="zh-CN"/>
        </w:rPr>
        <w:t>1</w:t>
      </w:r>
      <w:r>
        <w:rPr>
          <w:rFonts w:ascii="Times New Roman" w:hAnsi="Times New Roman" w:eastAsia="仿宋" w:cs="Times New Roman"/>
          <w:b/>
          <w:sz w:val="28"/>
          <w:szCs w:val="28"/>
        </w:rPr>
        <w:t>.3.4 饮用水源态势感知</w:t>
      </w:r>
      <w:bookmarkEnd w:id="22"/>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sz w:val="24"/>
          <w:szCs w:val="28"/>
          <w:lang w:val="zh-CN" w:bidi="zh-CN"/>
        </w:rPr>
        <w:t>以GIS地图直观展示所有地下水型饮用水源水质监测点的点位空间分布、实时水质状况及历史水质时空动态变化，进而帮助用户及时、准确地掌握监测点位的水质状况和动态变化趋势。</w:t>
      </w:r>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sz w:val="24"/>
          <w:szCs w:val="28"/>
          <w:lang w:val="zh-CN" w:bidi="zh-CN"/>
        </w:rPr>
        <w:t>可结合图表直观展示所关注区域或水体的整体水质状况、监测点水质类别比例、监测点水质达标率、同比变化情况等。</w:t>
      </w:r>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sz w:val="24"/>
          <w:szCs w:val="28"/>
          <w:lang w:val="zh-CN" w:bidi="zh-CN"/>
        </w:rPr>
        <w:t>选择某个饮用水源监测点，还可进一步查看该监测点的水质详情，包括监测点基本信息及水质多维度分析等。</w:t>
      </w:r>
    </w:p>
    <w:p>
      <w:pPr>
        <w:spacing w:line="360" w:lineRule="auto"/>
        <w:ind w:firstLine="560" w:firstLineChars="200"/>
        <w:outlineLvl w:val="2"/>
        <w:rPr>
          <w:rFonts w:ascii="Times New Roman" w:hAnsi="Times New Roman" w:eastAsia="仿宋" w:cs="Times New Roman"/>
          <w:b/>
          <w:sz w:val="28"/>
          <w:szCs w:val="28"/>
        </w:rPr>
      </w:pPr>
      <w:bookmarkStart w:id="23" w:name="_Toc106780433"/>
      <w:r>
        <w:rPr>
          <w:rFonts w:hint="eastAsia" w:ascii="Times New Roman" w:hAnsi="Times New Roman" w:eastAsia="仿宋" w:cs="Times New Roman"/>
          <w:b/>
          <w:sz w:val="28"/>
          <w:szCs w:val="28"/>
          <w:lang w:val="en-US" w:eastAsia="zh-CN"/>
        </w:rPr>
        <w:t>1</w:t>
      </w:r>
      <w:r>
        <w:rPr>
          <w:rFonts w:ascii="Times New Roman" w:hAnsi="Times New Roman" w:eastAsia="仿宋" w:cs="Times New Roman"/>
          <w:b/>
          <w:sz w:val="28"/>
          <w:szCs w:val="28"/>
        </w:rPr>
        <w:t>.3.5 污染源监管一张图</w:t>
      </w:r>
      <w:bookmarkEnd w:id="20"/>
      <w:bookmarkEnd w:id="21"/>
      <w:bookmarkEnd w:id="23"/>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sz w:val="24"/>
          <w:szCs w:val="28"/>
          <w:lang w:val="zh-CN" w:bidi="zh-CN"/>
        </w:rPr>
        <w:t>通过污染源监管一张图直观展示各类地下水污染源企业的空间分布、污染排放及管控现状，实现按图索骥、精准找点、快速处置、以图管源。</w:t>
      </w:r>
    </w:p>
    <w:p>
      <w:pPr>
        <w:snapToGrid w:val="0"/>
        <w:spacing w:line="360" w:lineRule="auto"/>
        <w:ind w:firstLine="480" w:firstLineChars="200"/>
        <w:rPr>
          <w:rFonts w:ascii="Times New Roman" w:hAnsi="Times New Roman" w:eastAsia="仿宋" w:cs="Times New Roman"/>
          <w:sz w:val="24"/>
          <w:szCs w:val="28"/>
          <w:lang w:val="zh-CN" w:bidi="zh-CN"/>
        </w:rPr>
      </w:pPr>
      <w:r>
        <w:rPr>
          <w:rFonts w:ascii="Times New Roman" w:hAnsi="Times New Roman" w:eastAsia="仿宋" w:cs="Times New Roman"/>
          <w:sz w:val="24"/>
          <w:szCs w:val="28"/>
          <w:lang w:val="zh-CN" w:bidi="zh-CN"/>
        </w:rPr>
        <w:t>可查看污染源企业详情，了解企业概况并进行多维度数据分析；还可直观统计各部门污染源监管工作情况，帮助用户一图掌握污染源管控全局。</w:t>
      </w:r>
    </w:p>
    <w:p>
      <w:pPr>
        <w:rPr>
          <w:rFonts w:ascii="Times New Roman" w:hAnsi="Times New Roman" w:eastAsia="仿宋" w:cs="Times New Roman"/>
          <w:sz w:val="24"/>
          <w:szCs w:val="28"/>
          <w:lang w:val="zh-CN" w:bidi="zh-CN"/>
        </w:rPr>
      </w:pPr>
    </w:p>
    <w:sectPr>
      <w:headerReference r:id="rId3" w:type="default"/>
      <w:footerReference r:id="rId4" w:type="default"/>
      <w:pgSz w:w="11906" w:h="16838"/>
      <w:pgMar w:top="1440" w:right="1800" w:bottom="1440" w:left="180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3206537"/>
      <w:docPartObj>
        <w:docPartGallery w:val="autotext"/>
      </w:docPartObj>
    </w:sdtPr>
    <w:sdtContent>
      <w:p>
        <w:pPr>
          <w:pStyle w:val="7"/>
          <w:jc w:val="center"/>
        </w:pPr>
        <w:r>
          <w:fldChar w:fldCharType="begin"/>
        </w:r>
        <w:r>
          <w:instrText xml:space="preserve">PAGE   \* MERGEFORMAT</w:instrText>
        </w:r>
        <w:r>
          <w:fldChar w:fldCharType="separate"/>
        </w:r>
        <w:r>
          <w:rPr>
            <w:lang w:val="zh-CN"/>
          </w:rPr>
          <w:t>6</w:t>
        </w:r>
        <w: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1"/>
        <w:right w:val="none" w:color="auto" w:sz="0" w:space="0"/>
        <w:between w:val="none" w:color="auto" w:sz="0" w:space="0"/>
      </w:pBdr>
      <w:adjustRightInd w:val="0"/>
      <w:ind w:firstLine="0" w:firstLineChars="0"/>
      <w:jc w:val="right"/>
      <w:rPr>
        <w:rFonts w:ascii="黑体" w:hAnsi="黑体" w:eastAsia="黑体"/>
      </w:rPr>
    </w:pPr>
    <w:r>
      <w:rPr>
        <w:rFonts w:ascii="黑体" w:hAnsi="黑体" w:eastAsia="黑体"/>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173725"/>
    <w:multiLevelType w:val="multilevel"/>
    <w:tmpl w:val="72173725"/>
    <w:lvl w:ilvl="0" w:tentative="0">
      <w:start w:val="1"/>
      <w:numFmt w:val="chineseCountingThousand"/>
      <w:pStyle w:val="2"/>
      <w:lvlText w:val="%1、"/>
      <w:lvlJc w:val="left"/>
      <w:pPr>
        <w:ind w:left="1020" w:hanging="420"/>
      </w:p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Y1YjE3MzVmY2FiMjZjNGNmM2IyODVkNDg1YzMxYTEifQ=="/>
  </w:docVars>
  <w:rsids>
    <w:rsidRoot w:val="009A138C"/>
    <w:rsid w:val="000007E8"/>
    <w:rsid w:val="0000142D"/>
    <w:rsid w:val="00001B57"/>
    <w:rsid w:val="000021B3"/>
    <w:rsid w:val="000031AC"/>
    <w:rsid w:val="0000475E"/>
    <w:rsid w:val="00004804"/>
    <w:rsid w:val="000063B6"/>
    <w:rsid w:val="000119F2"/>
    <w:rsid w:val="00011E94"/>
    <w:rsid w:val="000123BC"/>
    <w:rsid w:val="0001293A"/>
    <w:rsid w:val="00012FCF"/>
    <w:rsid w:val="0001322C"/>
    <w:rsid w:val="0001343F"/>
    <w:rsid w:val="00014D17"/>
    <w:rsid w:val="000152B0"/>
    <w:rsid w:val="00015883"/>
    <w:rsid w:val="0001630C"/>
    <w:rsid w:val="000163A0"/>
    <w:rsid w:val="00022907"/>
    <w:rsid w:val="00023D00"/>
    <w:rsid w:val="00024A06"/>
    <w:rsid w:val="00025C9A"/>
    <w:rsid w:val="00032E29"/>
    <w:rsid w:val="00034561"/>
    <w:rsid w:val="00034B3C"/>
    <w:rsid w:val="0003549B"/>
    <w:rsid w:val="00035B4A"/>
    <w:rsid w:val="00036842"/>
    <w:rsid w:val="000371C1"/>
    <w:rsid w:val="00037631"/>
    <w:rsid w:val="00040D18"/>
    <w:rsid w:val="00041BFF"/>
    <w:rsid w:val="00042053"/>
    <w:rsid w:val="0004641B"/>
    <w:rsid w:val="00046AF1"/>
    <w:rsid w:val="000470A8"/>
    <w:rsid w:val="00051C0C"/>
    <w:rsid w:val="000529DC"/>
    <w:rsid w:val="00053A2B"/>
    <w:rsid w:val="00057892"/>
    <w:rsid w:val="00057D30"/>
    <w:rsid w:val="00060833"/>
    <w:rsid w:val="00060C86"/>
    <w:rsid w:val="00060E16"/>
    <w:rsid w:val="0006135B"/>
    <w:rsid w:val="00062751"/>
    <w:rsid w:val="00062A37"/>
    <w:rsid w:val="000648B5"/>
    <w:rsid w:val="00064C46"/>
    <w:rsid w:val="00065117"/>
    <w:rsid w:val="00065EA6"/>
    <w:rsid w:val="00065EB6"/>
    <w:rsid w:val="00066395"/>
    <w:rsid w:val="0007009B"/>
    <w:rsid w:val="00070A91"/>
    <w:rsid w:val="00070F5E"/>
    <w:rsid w:val="000729B0"/>
    <w:rsid w:val="00073432"/>
    <w:rsid w:val="00074597"/>
    <w:rsid w:val="000746BF"/>
    <w:rsid w:val="00074A9E"/>
    <w:rsid w:val="00076460"/>
    <w:rsid w:val="0007660F"/>
    <w:rsid w:val="000773A4"/>
    <w:rsid w:val="000804A1"/>
    <w:rsid w:val="0008241A"/>
    <w:rsid w:val="00083BAF"/>
    <w:rsid w:val="0008487B"/>
    <w:rsid w:val="000907CC"/>
    <w:rsid w:val="00090D6A"/>
    <w:rsid w:val="00090D9D"/>
    <w:rsid w:val="00091345"/>
    <w:rsid w:val="0009320C"/>
    <w:rsid w:val="00094377"/>
    <w:rsid w:val="00094D8D"/>
    <w:rsid w:val="00095469"/>
    <w:rsid w:val="000954B6"/>
    <w:rsid w:val="0009574C"/>
    <w:rsid w:val="00095FB2"/>
    <w:rsid w:val="00096739"/>
    <w:rsid w:val="000A013E"/>
    <w:rsid w:val="000A0851"/>
    <w:rsid w:val="000A140B"/>
    <w:rsid w:val="000A17B7"/>
    <w:rsid w:val="000A4120"/>
    <w:rsid w:val="000A4732"/>
    <w:rsid w:val="000A529B"/>
    <w:rsid w:val="000A5341"/>
    <w:rsid w:val="000B088E"/>
    <w:rsid w:val="000B08D7"/>
    <w:rsid w:val="000B1D68"/>
    <w:rsid w:val="000B2077"/>
    <w:rsid w:val="000B3C2B"/>
    <w:rsid w:val="000B4D85"/>
    <w:rsid w:val="000B65FB"/>
    <w:rsid w:val="000C045A"/>
    <w:rsid w:val="000C054E"/>
    <w:rsid w:val="000C1421"/>
    <w:rsid w:val="000C1A84"/>
    <w:rsid w:val="000C3E61"/>
    <w:rsid w:val="000C564E"/>
    <w:rsid w:val="000C5E8E"/>
    <w:rsid w:val="000D2FB6"/>
    <w:rsid w:val="000D3917"/>
    <w:rsid w:val="000D45CD"/>
    <w:rsid w:val="000D4722"/>
    <w:rsid w:val="000D48BF"/>
    <w:rsid w:val="000D4EB3"/>
    <w:rsid w:val="000D576B"/>
    <w:rsid w:val="000D599C"/>
    <w:rsid w:val="000D7628"/>
    <w:rsid w:val="000D7908"/>
    <w:rsid w:val="000D7DFF"/>
    <w:rsid w:val="000E0196"/>
    <w:rsid w:val="000E0FFA"/>
    <w:rsid w:val="000E32FA"/>
    <w:rsid w:val="000E452D"/>
    <w:rsid w:val="000E6D93"/>
    <w:rsid w:val="000E6F11"/>
    <w:rsid w:val="000E74C2"/>
    <w:rsid w:val="000F0195"/>
    <w:rsid w:val="000F0642"/>
    <w:rsid w:val="000F079B"/>
    <w:rsid w:val="000F41F3"/>
    <w:rsid w:val="000F799A"/>
    <w:rsid w:val="00100F25"/>
    <w:rsid w:val="00101808"/>
    <w:rsid w:val="00102474"/>
    <w:rsid w:val="00102FBC"/>
    <w:rsid w:val="00103F03"/>
    <w:rsid w:val="00104998"/>
    <w:rsid w:val="001057C9"/>
    <w:rsid w:val="00105C79"/>
    <w:rsid w:val="00106C23"/>
    <w:rsid w:val="00107550"/>
    <w:rsid w:val="00111360"/>
    <w:rsid w:val="00112CE7"/>
    <w:rsid w:val="00114495"/>
    <w:rsid w:val="001160A2"/>
    <w:rsid w:val="0011737A"/>
    <w:rsid w:val="0011787A"/>
    <w:rsid w:val="00120B54"/>
    <w:rsid w:val="00123905"/>
    <w:rsid w:val="00125C44"/>
    <w:rsid w:val="00127A94"/>
    <w:rsid w:val="0013129C"/>
    <w:rsid w:val="001321F0"/>
    <w:rsid w:val="001333BE"/>
    <w:rsid w:val="001351FD"/>
    <w:rsid w:val="0013633C"/>
    <w:rsid w:val="00136DD2"/>
    <w:rsid w:val="0013750E"/>
    <w:rsid w:val="0014188A"/>
    <w:rsid w:val="00141AB3"/>
    <w:rsid w:val="001430EE"/>
    <w:rsid w:val="0014377F"/>
    <w:rsid w:val="00143FF2"/>
    <w:rsid w:val="00144958"/>
    <w:rsid w:val="00146032"/>
    <w:rsid w:val="00146165"/>
    <w:rsid w:val="00147466"/>
    <w:rsid w:val="0014763D"/>
    <w:rsid w:val="00150CDF"/>
    <w:rsid w:val="00150CE4"/>
    <w:rsid w:val="00150F9A"/>
    <w:rsid w:val="00153269"/>
    <w:rsid w:val="00155462"/>
    <w:rsid w:val="00155C39"/>
    <w:rsid w:val="00155C53"/>
    <w:rsid w:val="00156C2A"/>
    <w:rsid w:val="00157779"/>
    <w:rsid w:val="0016051B"/>
    <w:rsid w:val="00160707"/>
    <w:rsid w:val="00161BB3"/>
    <w:rsid w:val="00161BC5"/>
    <w:rsid w:val="00163893"/>
    <w:rsid w:val="00164EEC"/>
    <w:rsid w:val="0017067C"/>
    <w:rsid w:val="00170A04"/>
    <w:rsid w:val="00171185"/>
    <w:rsid w:val="00172563"/>
    <w:rsid w:val="001749DC"/>
    <w:rsid w:val="001751EB"/>
    <w:rsid w:val="00176E2D"/>
    <w:rsid w:val="00177C47"/>
    <w:rsid w:val="00177FC1"/>
    <w:rsid w:val="00180427"/>
    <w:rsid w:val="001817B9"/>
    <w:rsid w:val="00181F0E"/>
    <w:rsid w:val="0018246F"/>
    <w:rsid w:val="00182667"/>
    <w:rsid w:val="00183101"/>
    <w:rsid w:val="00185C1E"/>
    <w:rsid w:val="00186ABA"/>
    <w:rsid w:val="00186E90"/>
    <w:rsid w:val="00193F78"/>
    <w:rsid w:val="0019432B"/>
    <w:rsid w:val="0019465F"/>
    <w:rsid w:val="00196C91"/>
    <w:rsid w:val="00196F37"/>
    <w:rsid w:val="001A3E44"/>
    <w:rsid w:val="001B1D0F"/>
    <w:rsid w:val="001B204B"/>
    <w:rsid w:val="001B292F"/>
    <w:rsid w:val="001B379F"/>
    <w:rsid w:val="001B4CFA"/>
    <w:rsid w:val="001B54B4"/>
    <w:rsid w:val="001B54F6"/>
    <w:rsid w:val="001B6464"/>
    <w:rsid w:val="001C09F4"/>
    <w:rsid w:val="001C0B2C"/>
    <w:rsid w:val="001C2CC9"/>
    <w:rsid w:val="001C31C7"/>
    <w:rsid w:val="001C3690"/>
    <w:rsid w:val="001C392D"/>
    <w:rsid w:val="001C4DC4"/>
    <w:rsid w:val="001C57BE"/>
    <w:rsid w:val="001C7C38"/>
    <w:rsid w:val="001D1A91"/>
    <w:rsid w:val="001D2FBB"/>
    <w:rsid w:val="001D4481"/>
    <w:rsid w:val="001D54F4"/>
    <w:rsid w:val="001D6516"/>
    <w:rsid w:val="001E49BF"/>
    <w:rsid w:val="001E5CD6"/>
    <w:rsid w:val="001F0E58"/>
    <w:rsid w:val="001F2456"/>
    <w:rsid w:val="001F3605"/>
    <w:rsid w:val="001F4302"/>
    <w:rsid w:val="001F6016"/>
    <w:rsid w:val="001F689C"/>
    <w:rsid w:val="001F7635"/>
    <w:rsid w:val="0020115F"/>
    <w:rsid w:val="002023CA"/>
    <w:rsid w:val="0020369A"/>
    <w:rsid w:val="00203DDA"/>
    <w:rsid w:val="002042DB"/>
    <w:rsid w:val="002050C5"/>
    <w:rsid w:val="00206A8F"/>
    <w:rsid w:val="00210B74"/>
    <w:rsid w:val="00211297"/>
    <w:rsid w:val="002141F8"/>
    <w:rsid w:val="002152CB"/>
    <w:rsid w:val="00215B5F"/>
    <w:rsid w:val="00220F84"/>
    <w:rsid w:val="00221DBB"/>
    <w:rsid w:val="0022280D"/>
    <w:rsid w:val="0022345F"/>
    <w:rsid w:val="002242E2"/>
    <w:rsid w:val="002266EE"/>
    <w:rsid w:val="00230164"/>
    <w:rsid w:val="0023036F"/>
    <w:rsid w:val="00230D6B"/>
    <w:rsid w:val="002330C4"/>
    <w:rsid w:val="00233C4C"/>
    <w:rsid w:val="0023436B"/>
    <w:rsid w:val="002352D5"/>
    <w:rsid w:val="00236675"/>
    <w:rsid w:val="00237893"/>
    <w:rsid w:val="002418BD"/>
    <w:rsid w:val="002419D6"/>
    <w:rsid w:val="00243072"/>
    <w:rsid w:val="0024499B"/>
    <w:rsid w:val="0024509D"/>
    <w:rsid w:val="00251BB6"/>
    <w:rsid w:val="00253D47"/>
    <w:rsid w:val="002550CC"/>
    <w:rsid w:val="0025534D"/>
    <w:rsid w:val="0026083B"/>
    <w:rsid w:val="00262CBF"/>
    <w:rsid w:val="002644C8"/>
    <w:rsid w:val="00267802"/>
    <w:rsid w:val="002704FA"/>
    <w:rsid w:val="00271615"/>
    <w:rsid w:val="00271CFC"/>
    <w:rsid w:val="00275F1A"/>
    <w:rsid w:val="00277AA9"/>
    <w:rsid w:val="00277B86"/>
    <w:rsid w:val="002823BA"/>
    <w:rsid w:val="0028358A"/>
    <w:rsid w:val="0028494C"/>
    <w:rsid w:val="00285DD0"/>
    <w:rsid w:val="00286AA5"/>
    <w:rsid w:val="00287304"/>
    <w:rsid w:val="00287956"/>
    <w:rsid w:val="00291904"/>
    <w:rsid w:val="00294903"/>
    <w:rsid w:val="002950B5"/>
    <w:rsid w:val="00296163"/>
    <w:rsid w:val="002A0852"/>
    <w:rsid w:val="002A0B52"/>
    <w:rsid w:val="002A1490"/>
    <w:rsid w:val="002A182F"/>
    <w:rsid w:val="002A21A8"/>
    <w:rsid w:val="002A2523"/>
    <w:rsid w:val="002A308E"/>
    <w:rsid w:val="002A7BF9"/>
    <w:rsid w:val="002B19A0"/>
    <w:rsid w:val="002B5E57"/>
    <w:rsid w:val="002B5F44"/>
    <w:rsid w:val="002B5F65"/>
    <w:rsid w:val="002B75F6"/>
    <w:rsid w:val="002C0270"/>
    <w:rsid w:val="002C27FD"/>
    <w:rsid w:val="002C3E0A"/>
    <w:rsid w:val="002C4D2C"/>
    <w:rsid w:val="002C60F5"/>
    <w:rsid w:val="002C6207"/>
    <w:rsid w:val="002C658A"/>
    <w:rsid w:val="002C711C"/>
    <w:rsid w:val="002D1B0E"/>
    <w:rsid w:val="002D22A9"/>
    <w:rsid w:val="002D2B8F"/>
    <w:rsid w:val="002D4349"/>
    <w:rsid w:val="002D515F"/>
    <w:rsid w:val="002D588E"/>
    <w:rsid w:val="002E0209"/>
    <w:rsid w:val="002E0F48"/>
    <w:rsid w:val="002E4E8F"/>
    <w:rsid w:val="002E5EA8"/>
    <w:rsid w:val="002F4E91"/>
    <w:rsid w:val="002F54A2"/>
    <w:rsid w:val="002F5ACB"/>
    <w:rsid w:val="002F63F4"/>
    <w:rsid w:val="002F6C67"/>
    <w:rsid w:val="002F77A0"/>
    <w:rsid w:val="00300A66"/>
    <w:rsid w:val="003013B5"/>
    <w:rsid w:val="003015F3"/>
    <w:rsid w:val="00301A08"/>
    <w:rsid w:val="00302843"/>
    <w:rsid w:val="00302C0D"/>
    <w:rsid w:val="00302F8A"/>
    <w:rsid w:val="00303545"/>
    <w:rsid w:val="003050A7"/>
    <w:rsid w:val="0030569B"/>
    <w:rsid w:val="00305B6E"/>
    <w:rsid w:val="00312465"/>
    <w:rsid w:val="00316723"/>
    <w:rsid w:val="00316F7A"/>
    <w:rsid w:val="00316F93"/>
    <w:rsid w:val="0031776E"/>
    <w:rsid w:val="00320B2F"/>
    <w:rsid w:val="00320DBB"/>
    <w:rsid w:val="003217E9"/>
    <w:rsid w:val="003220CA"/>
    <w:rsid w:val="003222FE"/>
    <w:rsid w:val="003226D2"/>
    <w:rsid w:val="00322A24"/>
    <w:rsid w:val="0032404B"/>
    <w:rsid w:val="00324935"/>
    <w:rsid w:val="00327B6B"/>
    <w:rsid w:val="00332964"/>
    <w:rsid w:val="00335332"/>
    <w:rsid w:val="003411C0"/>
    <w:rsid w:val="003450E7"/>
    <w:rsid w:val="00345DE5"/>
    <w:rsid w:val="00346102"/>
    <w:rsid w:val="003535F3"/>
    <w:rsid w:val="00353C7A"/>
    <w:rsid w:val="00354D99"/>
    <w:rsid w:val="00355876"/>
    <w:rsid w:val="003564A0"/>
    <w:rsid w:val="00360F28"/>
    <w:rsid w:val="003617EA"/>
    <w:rsid w:val="003622C4"/>
    <w:rsid w:val="00363429"/>
    <w:rsid w:val="00363C01"/>
    <w:rsid w:val="0036448B"/>
    <w:rsid w:val="0036470E"/>
    <w:rsid w:val="00365C91"/>
    <w:rsid w:val="00366531"/>
    <w:rsid w:val="00366A84"/>
    <w:rsid w:val="00366D85"/>
    <w:rsid w:val="00367EF1"/>
    <w:rsid w:val="00371E5D"/>
    <w:rsid w:val="00376CAF"/>
    <w:rsid w:val="0037744E"/>
    <w:rsid w:val="00377B37"/>
    <w:rsid w:val="0038080B"/>
    <w:rsid w:val="00382979"/>
    <w:rsid w:val="00383883"/>
    <w:rsid w:val="00386182"/>
    <w:rsid w:val="0038742F"/>
    <w:rsid w:val="00387A5C"/>
    <w:rsid w:val="00387FAD"/>
    <w:rsid w:val="0039008D"/>
    <w:rsid w:val="00391336"/>
    <w:rsid w:val="00393407"/>
    <w:rsid w:val="003941BB"/>
    <w:rsid w:val="00394773"/>
    <w:rsid w:val="00396A48"/>
    <w:rsid w:val="003A3232"/>
    <w:rsid w:val="003A4886"/>
    <w:rsid w:val="003A52E4"/>
    <w:rsid w:val="003A5AF5"/>
    <w:rsid w:val="003A5B44"/>
    <w:rsid w:val="003A6427"/>
    <w:rsid w:val="003B0F08"/>
    <w:rsid w:val="003B1BF9"/>
    <w:rsid w:val="003B3BC1"/>
    <w:rsid w:val="003B3F56"/>
    <w:rsid w:val="003B419E"/>
    <w:rsid w:val="003B4B50"/>
    <w:rsid w:val="003B5518"/>
    <w:rsid w:val="003B716C"/>
    <w:rsid w:val="003B79AC"/>
    <w:rsid w:val="003C18E1"/>
    <w:rsid w:val="003C22BA"/>
    <w:rsid w:val="003C24CE"/>
    <w:rsid w:val="003C2689"/>
    <w:rsid w:val="003C3255"/>
    <w:rsid w:val="003C3617"/>
    <w:rsid w:val="003C3D91"/>
    <w:rsid w:val="003C4D43"/>
    <w:rsid w:val="003D0B99"/>
    <w:rsid w:val="003D21E1"/>
    <w:rsid w:val="003D474E"/>
    <w:rsid w:val="003D62D0"/>
    <w:rsid w:val="003D71ED"/>
    <w:rsid w:val="003D7382"/>
    <w:rsid w:val="003D7CC8"/>
    <w:rsid w:val="003E00C0"/>
    <w:rsid w:val="003E0E59"/>
    <w:rsid w:val="003E1A5F"/>
    <w:rsid w:val="003E25A0"/>
    <w:rsid w:val="003E3747"/>
    <w:rsid w:val="003E7A4C"/>
    <w:rsid w:val="003E7B0C"/>
    <w:rsid w:val="003E7BD6"/>
    <w:rsid w:val="003F02DA"/>
    <w:rsid w:val="003F0A55"/>
    <w:rsid w:val="003F0D3D"/>
    <w:rsid w:val="003F16E8"/>
    <w:rsid w:val="003F2961"/>
    <w:rsid w:val="003F3902"/>
    <w:rsid w:val="003F3BB0"/>
    <w:rsid w:val="003F4960"/>
    <w:rsid w:val="003F7803"/>
    <w:rsid w:val="0040049C"/>
    <w:rsid w:val="00400A80"/>
    <w:rsid w:val="00400C6B"/>
    <w:rsid w:val="00401E0E"/>
    <w:rsid w:val="00406B6C"/>
    <w:rsid w:val="00406CC5"/>
    <w:rsid w:val="00407F82"/>
    <w:rsid w:val="00414A78"/>
    <w:rsid w:val="00415D43"/>
    <w:rsid w:val="00416AA4"/>
    <w:rsid w:val="00422ACF"/>
    <w:rsid w:val="004239E4"/>
    <w:rsid w:val="00425ABC"/>
    <w:rsid w:val="00426DE1"/>
    <w:rsid w:val="00427BE6"/>
    <w:rsid w:val="00427FD3"/>
    <w:rsid w:val="004323C1"/>
    <w:rsid w:val="00434AA4"/>
    <w:rsid w:val="004361F5"/>
    <w:rsid w:val="00437075"/>
    <w:rsid w:val="004371F2"/>
    <w:rsid w:val="00437645"/>
    <w:rsid w:val="00437BBF"/>
    <w:rsid w:val="0044136F"/>
    <w:rsid w:val="00441758"/>
    <w:rsid w:val="0044223D"/>
    <w:rsid w:val="00442512"/>
    <w:rsid w:val="0044312C"/>
    <w:rsid w:val="004437CD"/>
    <w:rsid w:val="0044422A"/>
    <w:rsid w:val="00444443"/>
    <w:rsid w:val="0044506F"/>
    <w:rsid w:val="00445A82"/>
    <w:rsid w:val="00446B15"/>
    <w:rsid w:val="00446F97"/>
    <w:rsid w:val="00450386"/>
    <w:rsid w:val="00450E19"/>
    <w:rsid w:val="00452013"/>
    <w:rsid w:val="004544EF"/>
    <w:rsid w:val="004552DC"/>
    <w:rsid w:val="00455443"/>
    <w:rsid w:val="00456158"/>
    <w:rsid w:val="00456A73"/>
    <w:rsid w:val="00456CE9"/>
    <w:rsid w:val="00460296"/>
    <w:rsid w:val="004607F8"/>
    <w:rsid w:val="004626C8"/>
    <w:rsid w:val="00463AB1"/>
    <w:rsid w:val="00463C50"/>
    <w:rsid w:val="00464527"/>
    <w:rsid w:val="00465F95"/>
    <w:rsid w:val="00467AE7"/>
    <w:rsid w:val="00473BBF"/>
    <w:rsid w:val="00474FA1"/>
    <w:rsid w:val="00480DC1"/>
    <w:rsid w:val="00481AE8"/>
    <w:rsid w:val="004822D4"/>
    <w:rsid w:val="00484A85"/>
    <w:rsid w:val="00484D28"/>
    <w:rsid w:val="00485637"/>
    <w:rsid w:val="00485C4F"/>
    <w:rsid w:val="00486397"/>
    <w:rsid w:val="004866F6"/>
    <w:rsid w:val="0049134B"/>
    <w:rsid w:val="0049216C"/>
    <w:rsid w:val="00493C25"/>
    <w:rsid w:val="00495E79"/>
    <w:rsid w:val="004A0429"/>
    <w:rsid w:val="004A0908"/>
    <w:rsid w:val="004A12B2"/>
    <w:rsid w:val="004A1E9E"/>
    <w:rsid w:val="004A3641"/>
    <w:rsid w:val="004A46CE"/>
    <w:rsid w:val="004B50DE"/>
    <w:rsid w:val="004B594A"/>
    <w:rsid w:val="004B5F00"/>
    <w:rsid w:val="004B6CCD"/>
    <w:rsid w:val="004C0633"/>
    <w:rsid w:val="004C2672"/>
    <w:rsid w:val="004C335B"/>
    <w:rsid w:val="004C4DF7"/>
    <w:rsid w:val="004C69F2"/>
    <w:rsid w:val="004C6EA9"/>
    <w:rsid w:val="004D0BFA"/>
    <w:rsid w:val="004D16C0"/>
    <w:rsid w:val="004D343B"/>
    <w:rsid w:val="004D3875"/>
    <w:rsid w:val="004D4127"/>
    <w:rsid w:val="004D4417"/>
    <w:rsid w:val="004D49EB"/>
    <w:rsid w:val="004D54FA"/>
    <w:rsid w:val="004D6939"/>
    <w:rsid w:val="004D7121"/>
    <w:rsid w:val="004D7434"/>
    <w:rsid w:val="004D7456"/>
    <w:rsid w:val="004E118B"/>
    <w:rsid w:val="004E5C4C"/>
    <w:rsid w:val="004E6243"/>
    <w:rsid w:val="004E6BDB"/>
    <w:rsid w:val="004F097A"/>
    <w:rsid w:val="004F15C8"/>
    <w:rsid w:val="004F203E"/>
    <w:rsid w:val="004F2759"/>
    <w:rsid w:val="004F3495"/>
    <w:rsid w:val="004F4E35"/>
    <w:rsid w:val="004F5E8C"/>
    <w:rsid w:val="004F75FE"/>
    <w:rsid w:val="004F7C5A"/>
    <w:rsid w:val="005003DE"/>
    <w:rsid w:val="00501F16"/>
    <w:rsid w:val="00502F7C"/>
    <w:rsid w:val="00503F87"/>
    <w:rsid w:val="005051FB"/>
    <w:rsid w:val="00507900"/>
    <w:rsid w:val="005119D4"/>
    <w:rsid w:val="00512D24"/>
    <w:rsid w:val="00513E18"/>
    <w:rsid w:val="005149F3"/>
    <w:rsid w:val="0051579D"/>
    <w:rsid w:val="00515C6F"/>
    <w:rsid w:val="00517910"/>
    <w:rsid w:val="005210F8"/>
    <w:rsid w:val="0052173D"/>
    <w:rsid w:val="005225AF"/>
    <w:rsid w:val="0052322A"/>
    <w:rsid w:val="00524353"/>
    <w:rsid w:val="00525306"/>
    <w:rsid w:val="00525494"/>
    <w:rsid w:val="00525E04"/>
    <w:rsid w:val="0052647A"/>
    <w:rsid w:val="00526B9C"/>
    <w:rsid w:val="005271FF"/>
    <w:rsid w:val="005300C2"/>
    <w:rsid w:val="005301A3"/>
    <w:rsid w:val="00530E31"/>
    <w:rsid w:val="00531BEB"/>
    <w:rsid w:val="00531D23"/>
    <w:rsid w:val="005328D7"/>
    <w:rsid w:val="00532AC3"/>
    <w:rsid w:val="00536929"/>
    <w:rsid w:val="00536E30"/>
    <w:rsid w:val="005400AA"/>
    <w:rsid w:val="005402DB"/>
    <w:rsid w:val="00541B97"/>
    <w:rsid w:val="00541FB4"/>
    <w:rsid w:val="00544B2B"/>
    <w:rsid w:val="00547734"/>
    <w:rsid w:val="00547D24"/>
    <w:rsid w:val="00547DBC"/>
    <w:rsid w:val="00550D32"/>
    <w:rsid w:val="00551180"/>
    <w:rsid w:val="00551365"/>
    <w:rsid w:val="00552094"/>
    <w:rsid w:val="00552852"/>
    <w:rsid w:val="00554116"/>
    <w:rsid w:val="005542BB"/>
    <w:rsid w:val="00554B7F"/>
    <w:rsid w:val="00556C77"/>
    <w:rsid w:val="00556FAA"/>
    <w:rsid w:val="0056009B"/>
    <w:rsid w:val="0056227D"/>
    <w:rsid w:val="0056457E"/>
    <w:rsid w:val="005647C7"/>
    <w:rsid w:val="00565297"/>
    <w:rsid w:val="0056610A"/>
    <w:rsid w:val="00570922"/>
    <w:rsid w:val="00570C1B"/>
    <w:rsid w:val="00571F69"/>
    <w:rsid w:val="00573F33"/>
    <w:rsid w:val="005761F4"/>
    <w:rsid w:val="00576389"/>
    <w:rsid w:val="00580085"/>
    <w:rsid w:val="00583574"/>
    <w:rsid w:val="00583BE9"/>
    <w:rsid w:val="0058409C"/>
    <w:rsid w:val="00586536"/>
    <w:rsid w:val="005869F1"/>
    <w:rsid w:val="00587189"/>
    <w:rsid w:val="00590977"/>
    <w:rsid w:val="005920BF"/>
    <w:rsid w:val="00594117"/>
    <w:rsid w:val="00595F4B"/>
    <w:rsid w:val="00597B72"/>
    <w:rsid w:val="00597B93"/>
    <w:rsid w:val="005A030E"/>
    <w:rsid w:val="005A4918"/>
    <w:rsid w:val="005A5F80"/>
    <w:rsid w:val="005A609A"/>
    <w:rsid w:val="005A6D67"/>
    <w:rsid w:val="005B1F49"/>
    <w:rsid w:val="005B3AFB"/>
    <w:rsid w:val="005B3B9F"/>
    <w:rsid w:val="005B4256"/>
    <w:rsid w:val="005B5281"/>
    <w:rsid w:val="005B67E3"/>
    <w:rsid w:val="005B7E68"/>
    <w:rsid w:val="005C2611"/>
    <w:rsid w:val="005C2C7A"/>
    <w:rsid w:val="005C2E7C"/>
    <w:rsid w:val="005C3D00"/>
    <w:rsid w:val="005C539A"/>
    <w:rsid w:val="005C5B7F"/>
    <w:rsid w:val="005C7481"/>
    <w:rsid w:val="005D0581"/>
    <w:rsid w:val="005D1B4F"/>
    <w:rsid w:val="005D1DDC"/>
    <w:rsid w:val="005D2210"/>
    <w:rsid w:val="005D5A30"/>
    <w:rsid w:val="005D5FE5"/>
    <w:rsid w:val="005D6FD6"/>
    <w:rsid w:val="005E13F3"/>
    <w:rsid w:val="005E19CF"/>
    <w:rsid w:val="005E3EAC"/>
    <w:rsid w:val="005E42AB"/>
    <w:rsid w:val="005E4DB4"/>
    <w:rsid w:val="005E5A3A"/>
    <w:rsid w:val="005E6587"/>
    <w:rsid w:val="005E7EDF"/>
    <w:rsid w:val="005E7F65"/>
    <w:rsid w:val="005F18FB"/>
    <w:rsid w:val="005F1B27"/>
    <w:rsid w:val="005F24EE"/>
    <w:rsid w:val="005F39ED"/>
    <w:rsid w:val="005F417F"/>
    <w:rsid w:val="005F44CB"/>
    <w:rsid w:val="005F4A49"/>
    <w:rsid w:val="005F4E95"/>
    <w:rsid w:val="005F7DB3"/>
    <w:rsid w:val="00600841"/>
    <w:rsid w:val="00600A1B"/>
    <w:rsid w:val="00602225"/>
    <w:rsid w:val="00602DFC"/>
    <w:rsid w:val="00603F2D"/>
    <w:rsid w:val="0060498F"/>
    <w:rsid w:val="00605D1B"/>
    <w:rsid w:val="00606BE5"/>
    <w:rsid w:val="006079FD"/>
    <w:rsid w:val="00611E75"/>
    <w:rsid w:val="00612986"/>
    <w:rsid w:val="00612ABA"/>
    <w:rsid w:val="0061300B"/>
    <w:rsid w:val="0061326D"/>
    <w:rsid w:val="006157A4"/>
    <w:rsid w:val="00615A5B"/>
    <w:rsid w:val="006176B5"/>
    <w:rsid w:val="006176BE"/>
    <w:rsid w:val="00620A45"/>
    <w:rsid w:val="0062106E"/>
    <w:rsid w:val="00621D46"/>
    <w:rsid w:val="0062312A"/>
    <w:rsid w:val="00623200"/>
    <w:rsid w:val="006249A8"/>
    <w:rsid w:val="00625EAF"/>
    <w:rsid w:val="00625F3D"/>
    <w:rsid w:val="00626381"/>
    <w:rsid w:val="006264C9"/>
    <w:rsid w:val="00631DC3"/>
    <w:rsid w:val="006339CD"/>
    <w:rsid w:val="0063654E"/>
    <w:rsid w:val="00640636"/>
    <w:rsid w:val="0064195B"/>
    <w:rsid w:val="00642722"/>
    <w:rsid w:val="00642B1F"/>
    <w:rsid w:val="00644EA5"/>
    <w:rsid w:val="00644FA8"/>
    <w:rsid w:val="00644FC9"/>
    <w:rsid w:val="00646101"/>
    <w:rsid w:val="00650576"/>
    <w:rsid w:val="006536AC"/>
    <w:rsid w:val="0065375C"/>
    <w:rsid w:val="0065493C"/>
    <w:rsid w:val="00660DBC"/>
    <w:rsid w:val="00663276"/>
    <w:rsid w:val="006638AF"/>
    <w:rsid w:val="00664A8A"/>
    <w:rsid w:val="00664C3A"/>
    <w:rsid w:val="00664DC1"/>
    <w:rsid w:val="006670F2"/>
    <w:rsid w:val="006707CB"/>
    <w:rsid w:val="00671071"/>
    <w:rsid w:val="00673CDE"/>
    <w:rsid w:val="00681F83"/>
    <w:rsid w:val="0068212B"/>
    <w:rsid w:val="00683407"/>
    <w:rsid w:val="00685600"/>
    <w:rsid w:val="006859FE"/>
    <w:rsid w:val="006868BE"/>
    <w:rsid w:val="00686D18"/>
    <w:rsid w:val="00693A5E"/>
    <w:rsid w:val="006A0ED2"/>
    <w:rsid w:val="006A1448"/>
    <w:rsid w:val="006A2DE6"/>
    <w:rsid w:val="006A30C5"/>
    <w:rsid w:val="006A3BDC"/>
    <w:rsid w:val="006A52FC"/>
    <w:rsid w:val="006B0250"/>
    <w:rsid w:val="006B1B4E"/>
    <w:rsid w:val="006B1C97"/>
    <w:rsid w:val="006B1F1C"/>
    <w:rsid w:val="006B1FB3"/>
    <w:rsid w:val="006B3481"/>
    <w:rsid w:val="006B5C45"/>
    <w:rsid w:val="006B63EC"/>
    <w:rsid w:val="006C339A"/>
    <w:rsid w:val="006C4F9F"/>
    <w:rsid w:val="006C560D"/>
    <w:rsid w:val="006C64A8"/>
    <w:rsid w:val="006C7CF6"/>
    <w:rsid w:val="006D5772"/>
    <w:rsid w:val="006D583C"/>
    <w:rsid w:val="006D6062"/>
    <w:rsid w:val="006D6418"/>
    <w:rsid w:val="006D6422"/>
    <w:rsid w:val="006D67F6"/>
    <w:rsid w:val="006D70EE"/>
    <w:rsid w:val="006D76A5"/>
    <w:rsid w:val="006E0A31"/>
    <w:rsid w:val="006E0EDB"/>
    <w:rsid w:val="006E43EB"/>
    <w:rsid w:val="006E5437"/>
    <w:rsid w:val="006E7727"/>
    <w:rsid w:val="006E7833"/>
    <w:rsid w:val="006E7AE2"/>
    <w:rsid w:val="006F00D6"/>
    <w:rsid w:val="006F2B33"/>
    <w:rsid w:val="006F383E"/>
    <w:rsid w:val="006F48F7"/>
    <w:rsid w:val="006F4E91"/>
    <w:rsid w:val="006F5DF2"/>
    <w:rsid w:val="00700718"/>
    <w:rsid w:val="00700BBF"/>
    <w:rsid w:val="007027F0"/>
    <w:rsid w:val="007064A6"/>
    <w:rsid w:val="00711E93"/>
    <w:rsid w:val="00713C68"/>
    <w:rsid w:val="00713D26"/>
    <w:rsid w:val="007147CE"/>
    <w:rsid w:val="00715237"/>
    <w:rsid w:val="00715B33"/>
    <w:rsid w:val="00715FB2"/>
    <w:rsid w:val="00721188"/>
    <w:rsid w:val="00722914"/>
    <w:rsid w:val="0072367B"/>
    <w:rsid w:val="00724801"/>
    <w:rsid w:val="00725F4A"/>
    <w:rsid w:val="00730247"/>
    <w:rsid w:val="007344FD"/>
    <w:rsid w:val="00734639"/>
    <w:rsid w:val="00734C58"/>
    <w:rsid w:val="00735C10"/>
    <w:rsid w:val="007402F6"/>
    <w:rsid w:val="00741BD8"/>
    <w:rsid w:val="00741F4A"/>
    <w:rsid w:val="00742535"/>
    <w:rsid w:val="00742AE1"/>
    <w:rsid w:val="00742F76"/>
    <w:rsid w:val="0074353D"/>
    <w:rsid w:val="00744161"/>
    <w:rsid w:val="007441F6"/>
    <w:rsid w:val="00744741"/>
    <w:rsid w:val="007454F2"/>
    <w:rsid w:val="00745F31"/>
    <w:rsid w:val="00746AD6"/>
    <w:rsid w:val="0075201C"/>
    <w:rsid w:val="00761370"/>
    <w:rsid w:val="007628B0"/>
    <w:rsid w:val="0076322B"/>
    <w:rsid w:val="00763E7F"/>
    <w:rsid w:val="0076435A"/>
    <w:rsid w:val="0076637E"/>
    <w:rsid w:val="007703C6"/>
    <w:rsid w:val="007705EE"/>
    <w:rsid w:val="0077101F"/>
    <w:rsid w:val="00771065"/>
    <w:rsid w:val="00773118"/>
    <w:rsid w:val="00773356"/>
    <w:rsid w:val="00773C8F"/>
    <w:rsid w:val="00775738"/>
    <w:rsid w:val="00776D92"/>
    <w:rsid w:val="00777AD3"/>
    <w:rsid w:val="00781A2C"/>
    <w:rsid w:val="00782A96"/>
    <w:rsid w:val="00782C02"/>
    <w:rsid w:val="00783853"/>
    <w:rsid w:val="00784A4C"/>
    <w:rsid w:val="00790243"/>
    <w:rsid w:val="00792208"/>
    <w:rsid w:val="0079225F"/>
    <w:rsid w:val="00793E7D"/>
    <w:rsid w:val="0079411D"/>
    <w:rsid w:val="0079503F"/>
    <w:rsid w:val="007957D5"/>
    <w:rsid w:val="00795C21"/>
    <w:rsid w:val="0079683E"/>
    <w:rsid w:val="00797F62"/>
    <w:rsid w:val="007A28FE"/>
    <w:rsid w:val="007A4AD8"/>
    <w:rsid w:val="007A4C8C"/>
    <w:rsid w:val="007A600E"/>
    <w:rsid w:val="007A6DAA"/>
    <w:rsid w:val="007A7F5A"/>
    <w:rsid w:val="007B162F"/>
    <w:rsid w:val="007B2EDE"/>
    <w:rsid w:val="007B3426"/>
    <w:rsid w:val="007B5A6E"/>
    <w:rsid w:val="007B6A50"/>
    <w:rsid w:val="007C0F0B"/>
    <w:rsid w:val="007C1026"/>
    <w:rsid w:val="007C17EA"/>
    <w:rsid w:val="007C1B35"/>
    <w:rsid w:val="007C214C"/>
    <w:rsid w:val="007C278B"/>
    <w:rsid w:val="007C2FA8"/>
    <w:rsid w:val="007C39E0"/>
    <w:rsid w:val="007C4108"/>
    <w:rsid w:val="007C466E"/>
    <w:rsid w:val="007C4738"/>
    <w:rsid w:val="007C4F79"/>
    <w:rsid w:val="007C5484"/>
    <w:rsid w:val="007C5B2E"/>
    <w:rsid w:val="007C6EE6"/>
    <w:rsid w:val="007C76DD"/>
    <w:rsid w:val="007D1C4B"/>
    <w:rsid w:val="007D5F95"/>
    <w:rsid w:val="007D7EB0"/>
    <w:rsid w:val="007E0041"/>
    <w:rsid w:val="007E11FC"/>
    <w:rsid w:val="007E1885"/>
    <w:rsid w:val="007E1903"/>
    <w:rsid w:val="007E22F7"/>
    <w:rsid w:val="007E2D22"/>
    <w:rsid w:val="007E47F6"/>
    <w:rsid w:val="007F0752"/>
    <w:rsid w:val="007F172F"/>
    <w:rsid w:val="007F17BB"/>
    <w:rsid w:val="007F1EBF"/>
    <w:rsid w:val="007F47A7"/>
    <w:rsid w:val="007F5DCC"/>
    <w:rsid w:val="007F7314"/>
    <w:rsid w:val="007F7B97"/>
    <w:rsid w:val="008017CB"/>
    <w:rsid w:val="008035F8"/>
    <w:rsid w:val="00806F20"/>
    <w:rsid w:val="0080729E"/>
    <w:rsid w:val="00810B62"/>
    <w:rsid w:val="00811B6D"/>
    <w:rsid w:val="00812CD2"/>
    <w:rsid w:val="0081444E"/>
    <w:rsid w:val="00814DBB"/>
    <w:rsid w:val="008166CD"/>
    <w:rsid w:val="00816979"/>
    <w:rsid w:val="00816A50"/>
    <w:rsid w:val="00817F71"/>
    <w:rsid w:val="008208CF"/>
    <w:rsid w:val="0082192E"/>
    <w:rsid w:val="00822496"/>
    <w:rsid w:val="008233A0"/>
    <w:rsid w:val="008247CA"/>
    <w:rsid w:val="00825420"/>
    <w:rsid w:val="008261CE"/>
    <w:rsid w:val="00827B11"/>
    <w:rsid w:val="00830865"/>
    <w:rsid w:val="00832F15"/>
    <w:rsid w:val="0083312B"/>
    <w:rsid w:val="00834DD2"/>
    <w:rsid w:val="008362F1"/>
    <w:rsid w:val="00836CC8"/>
    <w:rsid w:val="0084014F"/>
    <w:rsid w:val="00840359"/>
    <w:rsid w:val="008406B4"/>
    <w:rsid w:val="0084134F"/>
    <w:rsid w:val="0084241E"/>
    <w:rsid w:val="008447BB"/>
    <w:rsid w:val="008473E8"/>
    <w:rsid w:val="008475B2"/>
    <w:rsid w:val="00847BEE"/>
    <w:rsid w:val="00850897"/>
    <w:rsid w:val="00851508"/>
    <w:rsid w:val="00853CC1"/>
    <w:rsid w:val="008545C0"/>
    <w:rsid w:val="00856764"/>
    <w:rsid w:val="00856A5C"/>
    <w:rsid w:val="00860DD1"/>
    <w:rsid w:val="00862CA9"/>
    <w:rsid w:val="00867F88"/>
    <w:rsid w:val="00870425"/>
    <w:rsid w:val="00874196"/>
    <w:rsid w:val="008755B2"/>
    <w:rsid w:val="008761A8"/>
    <w:rsid w:val="00877C8B"/>
    <w:rsid w:val="00880F32"/>
    <w:rsid w:val="008816C9"/>
    <w:rsid w:val="0088200A"/>
    <w:rsid w:val="00882EA8"/>
    <w:rsid w:val="0088334E"/>
    <w:rsid w:val="00885159"/>
    <w:rsid w:val="008910D6"/>
    <w:rsid w:val="00892E96"/>
    <w:rsid w:val="0089350F"/>
    <w:rsid w:val="00894D7C"/>
    <w:rsid w:val="00895AE7"/>
    <w:rsid w:val="008960CF"/>
    <w:rsid w:val="0089652A"/>
    <w:rsid w:val="0089704B"/>
    <w:rsid w:val="008975E7"/>
    <w:rsid w:val="008A3A0E"/>
    <w:rsid w:val="008A476C"/>
    <w:rsid w:val="008A6500"/>
    <w:rsid w:val="008A7EAE"/>
    <w:rsid w:val="008B0776"/>
    <w:rsid w:val="008B1E1D"/>
    <w:rsid w:val="008B385F"/>
    <w:rsid w:val="008B5168"/>
    <w:rsid w:val="008B52C6"/>
    <w:rsid w:val="008B68AB"/>
    <w:rsid w:val="008B6E1B"/>
    <w:rsid w:val="008B7027"/>
    <w:rsid w:val="008B751D"/>
    <w:rsid w:val="008B76C6"/>
    <w:rsid w:val="008B7E3A"/>
    <w:rsid w:val="008C064F"/>
    <w:rsid w:val="008C0E26"/>
    <w:rsid w:val="008C1111"/>
    <w:rsid w:val="008C2EAB"/>
    <w:rsid w:val="008C49A2"/>
    <w:rsid w:val="008C633D"/>
    <w:rsid w:val="008C74DB"/>
    <w:rsid w:val="008C7575"/>
    <w:rsid w:val="008D110E"/>
    <w:rsid w:val="008D1484"/>
    <w:rsid w:val="008D17CA"/>
    <w:rsid w:val="008D1F05"/>
    <w:rsid w:val="008D33C0"/>
    <w:rsid w:val="008D3C4E"/>
    <w:rsid w:val="008D6526"/>
    <w:rsid w:val="008D65BE"/>
    <w:rsid w:val="008D70C2"/>
    <w:rsid w:val="008E3066"/>
    <w:rsid w:val="008E3220"/>
    <w:rsid w:val="008E4562"/>
    <w:rsid w:val="008E4AAF"/>
    <w:rsid w:val="008E4D17"/>
    <w:rsid w:val="008E68F9"/>
    <w:rsid w:val="008E7FC1"/>
    <w:rsid w:val="008F0D80"/>
    <w:rsid w:val="008F30A5"/>
    <w:rsid w:val="008F489E"/>
    <w:rsid w:val="008F4E0A"/>
    <w:rsid w:val="008F53A4"/>
    <w:rsid w:val="008F5A0F"/>
    <w:rsid w:val="008F5FD5"/>
    <w:rsid w:val="008F66FB"/>
    <w:rsid w:val="008F7C91"/>
    <w:rsid w:val="00902D3A"/>
    <w:rsid w:val="0090426E"/>
    <w:rsid w:val="00907824"/>
    <w:rsid w:val="00912792"/>
    <w:rsid w:val="00913027"/>
    <w:rsid w:val="00914881"/>
    <w:rsid w:val="009200DD"/>
    <w:rsid w:val="00921E0A"/>
    <w:rsid w:val="00922F5B"/>
    <w:rsid w:val="00923B60"/>
    <w:rsid w:val="00924A9D"/>
    <w:rsid w:val="00924D36"/>
    <w:rsid w:val="00926D7E"/>
    <w:rsid w:val="00927798"/>
    <w:rsid w:val="009303F7"/>
    <w:rsid w:val="00930417"/>
    <w:rsid w:val="00930E4C"/>
    <w:rsid w:val="00930FAD"/>
    <w:rsid w:val="009313A7"/>
    <w:rsid w:val="00933763"/>
    <w:rsid w:val="00937505"/>
    <w:rsid w:val="0094033D"/>
    <w:rsid w:val="009409DB"/>
    <w:rsid w:val="00941F49"/>
    <w:rsid w:val="00942051"/>
    <w:rsid w:val="00943BF0"/>
    <w:rsid w:val="00943F44"/>
    <w:rsid w:val="009445F7"/>
    <w:rsid w:val="0094668F"/>
    <w:rsid w:val="009500A4"/>
    <w:rsid w:val="0095206F"/>
    <w:rsid w:val="0095257F"/>
    <w:rsid w:val="00954B0C"/>
    <w:rsid w:val="00954D6F"/>
    <w:rsid w:val="00955A15"/>
    <w:rsid w:val="00957931"/>
    <w:rsid w:val="00961B0A"/>
    <w:rsid w:val="00961B64"/>
    <w:rsid w:val="00962447"/>
    <w:rsid w:val="0096245F"/>
    <w:rsid w:val="0096260D"/>
    <w:rsid w:val="00963785"/>
    <w:rsid w:val="00964005"/>
    <w:rsid w:val="00965198"/>
    <w:rsid w:val="0096563C"/>
    <w:rsid w:val="009666B9"/>
    <w:rsid w:val="00966F57"/>
    <w:rsid w:val="00970156"/>
    <w:rsid w:val="009707BB"/>
    <w:rsid w:val="00972DCD"/>
    <w:rsid w:val="00973690"/>
    <w:rsid w:val="00974A54"/>
    <w:rsid w:val="009755C5"/>
    <w:rsid w:val="00977164"/>
    <w:rsid w:val="00981472"/>
    <w:rsid w:val="00982E75"/>
    <w:rsid w:val="0098390F"/>
    <w:rsid w:val="00984455"/>
    <w:rsid w:val="009855E0"/>
    <w:rsid w:val="0098577B"/>
    <w:rsid w:val="00986290"/>
    <w:rsid w:val="00986479"/>
    <w:rsid w:val="009871FB"/>
    <w:rsid w:val="009910C5"/>
    <w:rsid w:val="009925F9"/>
    <w:rsid w:val="00995928"/>
    <w:rsid w:val="00996770"/>
    <w:rsid w:val="00996EB9"/>
    <w:rsid w:val="0099703A"/>
    <w:rsid w:val="009A138C"/>
    <w:rsid w:val="009A1813"/>
    <w:rsid w:val="009A2516"/>
    <w:rsid w:val="009A2D16"/>
    <w:rsid w:val="009A356C"/>
    <w:rsid w:val="009A35B9"/>
    <w:rsid w:val="009A4C34"/>
    <w:rsid w:val="009A5559"/>
    <w:rsid w:val="009A68EA"/>
    <w:rsid w:val="009A75FC"/>
    <w:rsid w:val="009B100D"/>
    <w:rsid w:val="009B293D"/>
    <w:rsid w:val="009B3172"/>
    <w:rsid w:val="009B5451"/>
    <w:rsid w:val="009B5B91"/>
    <w:rsid w:val="009C007D"/>
    <w:rsid w:val="009C0991"/>
    <w:rsid w:val="009C09FB"/>
    <w:rsid w:val="009C0AF7"/>
    <w:rsid w:val="009C298B"/>
    <w:rsid w:val="009C4222"/>
    <w:rsid w:val="009C55F7"/>
    <w:rsid w:val="009C6A0F"/>
    <w:rsid w:val="009C6ACC"/>
    <w:rsid w:val="009C78BA"/>
    <w:rsid w:val="009D0721"/>
    <w:rsid w:val="009D0E96"/>
    <w:rsid w:val="009D138D"/>
    <w:rsid w:val="009D15FB"/>
    <w:rsid w:val="009D1876"/>
    <w:rsid w:val="009D1C21"/>
    <w:rsid w:val="009D45AA"/>
    <w:rsid w:val="009D46C4"/>
    <w:rsid w:val="009D4FA1"/>
    <w:rsid w:val="009D6D92"/>
    <w:rsid w:val="009D6E20"/>
    <w:rsid w:val="009E0C1B"/>
    <w:rsid w:val="009E4754"/>
    <w:rsid w:val="009E4E95"/>
    <w:rsid w:val="009E5699"/>
    <w:rsid w:val="009E5A9B"/>
    <w:rsid w:val="009E6A50"/>
    <w:rsid w:val="009E6EAF"/>
    <w:rsid w:val="009F05DD"/>
    <w:rsid w:val="009F49A0"/>
    <w:rsid w:val="009F566D"/>
    <w:rsid w:val="009F69B6"/>
    <w:rsid w:val="00A00EDE"/>
    <w:rsid w:val="00A01D10"/>
    <w:rsid w:val="00A02E99"/>
    <w:rsid w:val="00A03EA0"/>
    <w:rsid w:val="00A04698"/>
    <w:rsid w:val="00A050B3"/>
    <w:rsid w:val="00A066C4"/>
    <w:rsid w:val="00A13273"/>
    <w:rsid w:val="00A16448"/>
    <w:rsid w:val="00A16594"/>
    <w:rsid w:val="00A16FBE"/>
    <w:rsid w:val="00A20FE8"/>
    <w:rsid w:val="00A22AE1"/>
    <w:rsid w:val="00A23441"/>
    <w:rsid w:val="00A24BCF"/>
    <w:rsid w:val="00A25B54"/>
    <w:rsid w:val="00A26276"/>
    <w:rsid w:val="00A274DC"/>
    <w:rsid w:val="00A27A2A"/>
    <w:rsid w:val="00A302F9"/>
    <w:rsid w:val="00A31A13"/>
    <w:rsid w:val="00A31B3B"/>
    <w:rsid w:val="00A32B6A"/>
    <w:rsid w:val="00A33FAF"/>
    <w:rsid w:val="00A35A22"/>
    <w:rsid w:val="00A40A2B"/>
    <w:rsid w:val="00A41781"/>
    <w:rsid w:val="00A41863"/>
    <w:rsid w:val="00A43C5B"/>
    <w:rsid w:val="00A43EA8"/>
    <w:rsid w:val="00A44700"/>
    <w:rsid w:val="00A46078"/>
    <w:rsid w:val="00A471D9"/>
    <w:rsid w:val="00A50BAA"/>
    <w:rsid w:val="00A51453"/>
    <w:rsid w:val="00A51B02"/>
    <w:rsid w:val="00A53296"/>
    <w:rsid w:val="00A54821"/>
    <w:rsid w:val="00A54FE7"/>
    <w:rsid w:val="00A55622"/>
    <w:rsid w:val="00A55661"/>
    <w:rsid w:val="00A56FE9"/>
    <w:rsid w:val="00A577B0"/>
    <w:rsid w:val="00A579CA"/>
    <w:rsid w:val="00A60EBF"/>
    <w:rsid w:val="00A6340B"/>
    <w:rsid w:val="00A64B79"/>
    <w:rsid w:val="00A64D49"/>
    <w:rsid w:val="00A707C2"/>
    <w:rsid w:val="00A71D96"/>
    <w:rsid w:val="00A738F3"/>
    <w:rsid w:val="00A74F85"/>
    <w:rsid w:val="00A750A7"/>
    <w:rsid w:val="00A75DED"/>
    <w:rsid w:val="00A7654A"/>
    <w:rsid w:val="00A76E44"/>
    <w:rsid w:val="00A772DE"/>
    <w:rsid w:val="00A814FD"/>
    <w:rsid w:val="00A82388"/>
    <w:rsid w:val="00A850F1"/>
    <w:rsid w:val="00A86760"/>
    <w:rsid w:val="00A86B53"/>
    <w:rsid w:val="00A87950"/>
    <w:rsid w:val="00A93CCD"/>
    <w:rsid w:val="00A965AB"/>
    <w:rsid w:val="00A97BD9"/>
    <w:rsid w:val="00AA0796"/>
    <w:rsid w:val="00AA08B3"/>
    <w:rsid w:val="00AA0EDF"/>
    <w:rsid w:val="00AA17D5"/>
    <w:rsid w:val="00AA19D5"/>
    <w:rsid w:val="00AA2B68"/>
    <w:rsid w:val="00AA32DF"/>
    <w:rsid w:val="00AA4B8A"/>
    <w:rsid w:val="00AA5491"/>
    <w:rsid w:val="00AA5ABE"/>
    <w:rsid w:val="00AA6581"/>
    <w:rsid w:val="00AA74A4"/>
    <w:rsid w:val="00AA74B8"/>
    <w:rsid w:val="00AA7755"/>
    <w:rsid w:val="00AB0DEA"/>
    <w:rsid w:val="00AB1717"/>
    <w:rsid w:val="00AB3ACA"/>
    <w:rsid w:val="00AB3B52"/>
    <w:rsid w:val="00AB3F76"/>
    <w:rsid w:val="00AC07FB"/>
    <w:rsid w:val="00AC1C8D"/>
    <w:rsid w:val="00AC1F79"/>
    <w:rsid w:val="00AC29A8"/>
    <w:rsid w:val="00AC618A"/>
    <w:rsid w:val="00AC7C63"/>
    <w:rsid w:val="00AD0974"/>
    <w:rsid w:val="00AD3898"/>
    <w:rsid w:val="00AD464C"/>
    <w:rsid w:val="00AD5081"/>
    <w:rsid w:val="00AD6C84"/>
    <w:rsid w:val="00AD7869"/>
    <w:rsid w:val="00AD7FCC"/>
    <w:rsid w:val="00AE0286"/>
    <w:rsid w:val="00AE18F7"/>
    <w:rsid w:val="00AE3666"/>
    <w:rsid w:val="00AE45C6"/>
    <w:rsid w:val="00AE6C62"/>
    <w:rsid w:val="00AE7D55"/>
    <w:rsid w:val="00AF3B60"/>
    <w:rsid w:val="00AF5273"/>
    <w:rsid w:val="00AF537D"/>
    <w:rsid w:val="00AF563A"/>
    <w:rsid w:val="00AF6300"/>
    <w:rsid w:val="00B0193A"/>
    <w:rsid w:val="00B02213"/>
    <w:rsid w:val="00B022D7"/>
    <w:rsid w:val="00B06800"/>
    <w:rsid w:val="00B0684F"/>
    <w:rsid w:val="00B07305"/>
    <w:rsid w:val="00B0761D"/>
    <w:rsid w:val="00B1121D"/>
    <w:rsid w:val="00B115B2"/>
    <w:rsid w:val="00B11761"/>
    <w:rsid w:val="00B14A2E"/>
    <w:rsid w:val="00B205D1"/>
    <w:rsid w:val="00B2151F"/>
    <w:rsid w:val="00B229EC"/>
    <w:rsid w:val="00B24DCE"/>
    <w:rsid w:val="00B26F67"/>
    <w:rsid w:val="00B2753D"/>
    <w:rsid w:val="00B27E26"/>
    <w:rsid w:val="00B30FF0"/>
    <w:rsid w:val="00B3273C"/>
    <w:rsid w:val="00B33AEC"/>
    <w:rsid w:val="00B3471D"/>
    <w:rsid w:val="00B35EA9"/>
    <w:rsid w:val="00B364D6"/>
    <w:rsid w:val="00B3727A"/>
    <w:rsid w:val="00B37377"/>
    <w:rsid w:val="00B3748B"/>
    <w:rsid w:val="00B4035E"/>
    <w:rsid w:val="00B45EB4"/>
    <w:rsid w:val="00B465C6"/>
    <w:rsid w:val="00B478BB"/>
    <w:rsid w:val="00B47FE2"/>
    <w:rsid w:val="00B52048"/>
    <w:rsid w:val="00B542D7"/>
    <w:rsid w:val="00B559BF"/>
    <w:rsid w:val="00B5645B"/>
    <w:rsid w:val="00B642CC"/>
    <w:rsid w:val="00B649CC"/>
    <w:rsid w:val="00B64E14"/>
    <w:rsid w:val="00B653C2"/>
    <w:rsid w:val="00B668AB"/>
    <w:rsid w:val="00B66DC6"/>
    <w:rsid w:val="00B70286"/>
    <w:rsid w:val="00B73636"/>
    <w:rsid w:val="00B754FF"/>
    <w:rsid w:val="00B758B1"/>
    <w:rsid w:val="00B7591F"/>
    <w:rsid w:val="00B775D4"/>
    <w:rsid w:val="00B80DF2"/>
    <w:rsid w:val="00B8193D"/>
    <w:rsid w:val="00B832E7"/>
    <w:rsid w:val="00B83B46"/>
    <w:rsid w:val="00B83D3E"/>
    <w:rsid w:val="00B87DAD"/>
    <w:rsid w:val="00B9145C"/>
    <w:rsid w:val="00B917A9"/>
    <w:rsid w:val="00B9185A"/>
    <w:rsid w:val="00B9363E"/>
    <w:rsid w:val="00B93DA9"/>
    <w:rsid w:val="00B97197"/>
    <w:rsid w:val="00BA3F88"/>
    <w:rsid w:val="00BA462C"/>
    <w:rsid w:val="00BA649E"/>
    <w:rsid w:val="00BA7CB9"/>
    <w:rsid w:val="00BB03C3"/>
    <w:rsid w:val="00BB07B0"/>
    <w:rsid w:val="00BB2C2B"/>
    <w:rsid w:val="00BB36D3"/>
    <w:rsid w:val="00BB5990"/>
    <w:rsid w:val="00BB78BF"/>
    <w:rsid w:val="00BC104A"/>
    <w:rsid w:val="00BC1751"/>
    <w:rsid w:val="00BC1AA6"/>
    <w:rsid w:val="00BC34B7"/>
    <w:rsid w:val="00BC393C"/>
    <w:rsid w:val="00BC43E7"/>
    <w:rsid w:val="00BC519C"/>
    <w:rsid w:val="00BD00E8"/>
    <w:rsid w:val="00BD4166"/>
    <w:rsid w:val="00BD4C4E"/>
    <w:rsid w:val="00BD5EA3"/>
    <w:rsid w:val="00BD6EE7"/>
    <w:rsid w:val="00BD7105"/>
    <w:rsid w:val="00BD7237"/>
    <w:rsid w:val="00BE1D68"/>
    <w:rsid w:val="00BE23BD"/>
    <w:rsid w:val="00BE2B57"/>
    <w:rsid w:val="00BE3B5A"/>
    <w:rsid w:val="00BE3F89"/>
    <w:rsid w:val="00BE451C"/>
    <w:rsid w:val="00BE695C"/>
    <w:rsid w:val="00BE781D"/>
    <w:rsid w:val="00BF2144"/>
    <w:rsid w:val="00BF37F0"/>
    <w:rsid w:val="00BF3D08"/>
    <w:rsid w:val="00BF4479"/>
    <w:rsid w:val="00BF4E34"/>
    <w:rsid w:val="00BF627F"/>
    <w:rsid w:val="00BF738C"/>
    <w:rsid w:val="00C0152E"/>
    <w:rsid w:val="00C026FE"/>
    <w:rsid w:val="00C0424D"/>
    <w:rsid w:val="00C0446D"/>
    <w:rsid w:val="00C0484A"/>
    <w:rsid w:val="00C04E68"/>
    <w:rsid w:val="00C072E1"/>
    <w:rsid w:val="00C106B6"/>
    <w:rsid w:val="00C1149B"/>
    <w:rsid w:val="00C12C95"/>
    <w:rsid w:val="00C1341D"/>
    <w:rsid w:val="00C13F59"/>
    <w:rsid w:val="00C1413A"/>
    <w:rsid w:val="00C14392"/>
    <w:rsid w:val="00C15690"/>
    <w:rsid w:val="00C20956"/>
    <w:rsid w:val="00C20A0A"/>
    <w:rsid w:val="00C22BF4"/>
    <w:rsid w:val="00C24C4E"/>
    <w:rsid w:val="00C271AE"/>
    <w:rsid w:val="00C27F05"/>
    <w:rsid w:val="00C30545"/>
    <w:rsid w:val="00C35050"/>
    <w:rsid w:val="00C359E5"/>
    <w:rsid w:val="00C360BB"/>
    <w:rsid w:val="00C36377"/>
    <w:rsid w:val="00C37EBF"/>
    <w:rsid w:val="00C4027F"/>
    <w:rsid w:val="00C409FE"/>
    <w:rsid w:val="00C40F77"/>
    <w:rsid w:val="00C41CE9"/>
    <w:rsid w:val="00C4240C"/>
    <w:rsid w:val="00C42BA1"/>
    <w:rsid w:val="00C42E04"/>
    <w:rsid w:val="00C434AC"/>
    <w:rsid w:val="00C43DAB"/>
    <w:rsid w:val="00C4455E"/>
    <w:rsid w:val="00C44F00"/>
    <w:rsid w:val="00C471D8"/>
    <w:rsid w:val="00C47E36"/>
    <w:rsid w:val="00C519D8"/>
    <w:rsid w:val="00C52519"/>
    <w:rsid w:val="00C53BE0"/>
    <w:rsid w:val="00C5411C"/>
    <w:rsid w:val="00C55230"/>
    <w:rsid w:val="00C60FE4"/>
    <w:rsid w:val="00C61C16"/>
    <w:rsid w:val="00C65FC6"/>
    <w:rsid w:val="00C70F86"/>
    <w:rsid w:val="00C71EC9"/>
    <w:rsid w:val="00C735B0"/>
    <w:rsid w:val="00C73B33"/>
    <w:rsid w:val="00C749C9"/>
    <w:rsid w:val="00C75A9A"/>
    <w:rsid w:val="00C75D33"/>
    <w:rsid w:val="00C775C2"/>
    <w:rsid w:val="00C81C6F"/>
    <w:rsid w:val="00C849B5"/>
    <w:rsid w:val="00C871EA"/>
    <w:rsid w:val="00C87568"/>
    <w:rsid w:val="00C905F7"/>
    <w:rsid w:val="00C90761"/>
    <w:rsid w:val="00C9169D"/>
    <w:rsid w:val="00C92F59"/>
    <w:rsid w:val="00C93198"/>
    <w:rsid w:val="00C93CE8"/>
    <w:rsid w:val="00C93FBD"/>
    <w:rsid w:val="00C94A41"/>
    <w:rsid w:val="00C956F9"/>
    <w:rsid w:val="00C964DE"/>
    <w:rsid w:val="00C97A45"/>
    <w:rsid w:val="00CA09F7"/>
    <w:rsid w:val="00CA1532"/>
    <w:rsid w:val="00CA439D"/>
    <w:rsid w:val="00CA4840"/>
    <w:rsid w:val="00CA4B77"/>
    <w:rsid w:val="00CA5F3F"/>
    <w:rsid w:val="00CA759D"/>
    <w:rsid w:val="00CB2C18"/>
    <w:rsid w:val="00CB7C49"/>
    <w:rsid w:val="00CC2AEE"/>
    <w:rsid w:val="00CC2E71"/>
    <w:rsid w:val="00CC3C12"/>
    <w:rsid w:val="00CC443F"/>
    <w:rsid w:val="00CC57C9"/>
    <w:rsid w:val="00CC640F"/>
    <w:rsid w:val="00CC6F30"/>
    <w:rsid w:val="00CC70E0"/>
    <w:rsid w:val="00CC724F"/>
    <w:rsid w:val="00CD312C"/>
    <w:rsid w:val="00CD3669"/>
    <w:rsid w:val="00CD5978"/>
    <w:rsid w:val="00CD6FBE"/>
    <w:rsid w:val="00CD7F47"/>
    <w:rsid w:val="00CE1F31"/>
    <w:rsid w:val="00CE33D1"/>
    <w:rsid w:val="00CE3AD6"/>
    <w:rsid w:val="00CE3C52"/>
    <w:rsid w:val="00CE4440"/>
    <w:rsid w:val="00CE4C9C"/>
    <w:rsid w:val="00CE5827"/>
    <w:rsid w:val="00CE5B5E"/>
    <w:rsid w:val="00CE7509"/>
    <w:rsid w:val="00CE7864"/>
    <w:rsid w:val="00CF0670"/>
    <w:rsid w:val="00CF29AF"/>
    <w:rsid w:val="00CF29DE"/>
    <w:rsid w:val="00CF2A44"/>
    <w:rsid w:val="00CF2ABB"/>
    <w:rsid w:val="00CF2E75"/>
    <w:rsid w:val="00CF581D"/>
    <w:rsid w:val="00CF6749"/>
    <w:rsid w:val="00D01097"/>
    <w:rsid w:val="00D02675"/>
    <w:rsid w:val="00D049F4"/>
    <w:rsid w:val="00D06701"/>
    <w:rsid w:val="00D06EF1"/>
    <w:rsid w:val="00D071FE"/>
    <w:rsid w:val="00D10C46"/>
    <w:rsid w:val="00D13103"/>
    <w:rsid w:val="00D13A3F"/>
    <w:rsid w:val="00D141F7"/>
    <w:rsid w:val="00D149A2"/>
    <w:rsid w:val="00D164F8"/>
    <w:rsid w:val="00D16EF1"/>
    <w:rsid w:val="00D215B2"/>
    <w:rsid w:val="00D248CE"/>
    <w:rsid w:val="00D25A2B"/>
    <w:rsid w:val="00D25B4C"/>
    <w:rsid w:val="00D2740C"/>
    <w:rsid w:val="00D278AF"/>
    <w:rsid w:val="00D3307E"/>
    <w:rsid w:val="00D35A0C"/>
    <w:rsid w:val="00D35A7F"/>
    <w:rsid w:val="00D3796B"/>
    <w:rsid w:val="00D379E8"/>
    <w:rsid w:val="00D40879"/>
    <w:rsid w:val="00D409E2"/>
    <w:rsid w:val="00D40EEE"/>
    <w:rsid w:val="00D40F21"/>
    <w:rsid w:val="00D40FCF"/>
    <w:rsid w:val="00D41FD1"/>
    <w:rsid w:val="00D42129"/>
    <w:rsid w:val="00D42480"/>
    <w:rsid w:val="00D4334F"/>
    <w:rsid w:val="00D4338A"/>
    <w:rsid w:val="00D44312"/>
    <w:rsid w:val="00D448FF"/>
    <w:rsid w:val="00D4493B"/>
    <w:rsid w:val="00D46643"/>
    <w:rsid w:val="00D47678"/>
    <w:rsid w:val="00D479EE"/>
    <w:rsid w:val="00D50DA8"/>
    <w:rsid w:val="00D5132D"/>
    <w:rsid w:val="00D521A8"/>
    <w:rsid w:val="00D531AA"/>
    <w:rsid w:val="00D53989"/>
    <w:rsid w:val="00D546EF"/>
    <w:rsid w:val="00D55784"/>
    <w:rsid w:val="00D55C06"/>
    <w:rsid w:val="00D56FA4"/>
    <w:rsid w:val="00D60BBD"/>
    <w:rsid w:val="00D629C5"/>
    <w:rsid w:val="00D62EF0"/>
    <w:rsid w:val="00D6582B"/>
    <w:rsid w:val="00D66AF8"/>
    <w:rsid w:val="00D67F63"/>
    <w:rsid w:val="00D70EA8"/>
    <w:rsid w:val="00D71154"/>
    <w:rsid w:val="00D71917"/>
    <w:rsid w:val="00D72154"/>
    <w:rsid w:val="00D72A11"/>
    <w:rsid w:val="00D74A85"/>
    <w:rsid w:val="00D75F86"/>
    <w:rsid w:val="00D76C8C"/>
    <w:rsid w:val="00D76FA4"/>
    <w:rsid w:val="00D77E41"/>
    <w:rsid w:val="00D77FA5"/>
    <w:rsid w:val="00D82352"/>
    <w:rsid w:val="00D8282F"/>
    <w:rsid w:val="00D8500D"/>
    <w:rsid w:val="00D90F2B"/>
    <w:rsid w:val="00D91231"/>
    <w:rsid w:val="00D91F1E"/>
    <w:rsid w:val="00D92BA2"/>
    <w:rsid w:val="00D94DB3"/>
    <w:rsid w:val="00D95D83"/>
    <w:rsid w:val="00DA2337"/>
    <w:rsid w:val="00DA5FF5"/>
    <w:rsid w:val="00DB0600"/>
    <w:rsid w:val="00DB121C"/>
    <w:rsid w:val="00DB2739"/>
    <w:rsid w:val="00DB3189"/>
    <w:rsid w:val="00DB47D0"/>
    <w:rsid w:val="00DB4F00"/>
    <w:rsid w:val="00DB69E4"/>
    <w:rsid w:val="00DB70D8"/>
    <w:rsid w:val="00DC02F4"/>
    <w:rsid w:val="00DC16F1"/>
    <w:rsid w:val="00DC21D9"/>
    <w:rsid w:val="00DC2B27"/>
    <w:rsid w:val="00DC2BCE"/>
    <w:rsid w:val="00DC33BE"/>
    <w:rsid w:val="00DC6530"/>
    <w:rsid w:val="00DC658A"/>
    <w:rsid w:val="00DC65C8"/>
    <w:rsid w:val="00DC6BF8"/>
    <w:rsid w:val="00DC7406"/>
    <w:rsid w:val="00DC7A05"/>
    <w:rsid w:val="00DD0B13"/>
    <w:rsid w:val="00DD3093"/>
    <w:rsid w:val="00DD4E0E"/>
    <w:rsid w:val="00DD5851"/>
    <w:rsid w:val="00DD5D41"/>
    <w:rsid w:val="00DD7266"/>
    <w:rsid w:val="00DD7929"/>
    <w:rsid w:val="00DD7D1F"/>
    <w:rsid w:val="00DE0A66"/>
    <w:rsid w:val="00DE1BA6"/>
    <w:rsid w:val="00DE27A7"/>
    <w:rsid w:val="00DE3073"/>
    <w:rsid w:val="00DE4989"/>
    <w:rsid w:val="00DE4D2A"/>
    <w:rsid w:val="00DE55CA"/>
    <w:rsid w:val="00DE5E71"/>
    <w:rsid w:val="00DE64F2"/>
    <w:rsid w:val="00DE6D3B"/>
    <w:rsid w:val="00DF16AE"/>
    <w:rsid w:val="00DF28AF"/>
    <w:rsid w:val="00DF2B91"/>
    <w:rsid w:val="00DF3037"/>
    <w:rsid w:val="00DF3F0B"/>
    <w:rsid w:val="00DF5306"/>
    <w:rsid w:val="00E00C55"/>
    <w:rsid w:val="00E01BDE"/>
    <w:rsid w:val="00E02192"/>
    <w:rsid w:val="00E024FC"/>
    <w:rsid w:val="00E03B45"/>
    <w:rsid w:val="00E054B7"/>
    <w:rsid w:val="00E10967"/>
    <w:rsid w:val="00E10BD8"/>
    <w:rsid w:val="00E11B9E"/>
    <w:rsid w:val="00E1290D"/>
    <w:rsid w:val="00E1637A"/>
    <w:rsid w:val="00E177AA"/>
    <w:rsid w:val="00E20638"/>
    <w:rsid w:val="00E2217E"/>
    <w:rsid w:val="00E22186"/>
    <w:rsid w:val="00E22381"/>
    <w:rsid w:val="00E2289D"/>
    <w:rsid w:val="00E23587"/>
    <w:rsid w:val="00E24DA9"/>
    <w:rsid w:val="00E25E45"/>
    <w:rsid w:val="00E26D41"/>
    <w:rsid w:val="00E31833"/>
    <w:rsid w:val="00E326E3"/>
    <w:rsid w:val="00E3439B"/>
    <w:rsid w:val="00E34556"/>
    <w:rsid w:val="00E34B6B"/>
    <w:rsid w:val="00E3651B"/>
    <w:rsid w:val="00E424FD"/>
    <w:rsid w:val="00E42D33"/>
    <w:rsid w:val="00E4503F"/>
    <w:rsid w:val="00E46963"/>
    <w:rsid w:val="00E4743D"/>
    <w:rsid w:val="00E47774"/>
    <w:rsid w:val="00E5014A"/>
    <w:rsid w:val="00E51B53"/>
    <w:rsid w:val="00E528EF"/>
    <w:rsid w:val="00E53EAC"/>
    <w:rsid w:val="00E546D3"/>
    <w:rsid w:val="00E5512D"/>
    <w:rsid w:val="00E55694"/>
    <w:rsid w:val="00E57964"/>
    <w:rsid w:val="00E6171A"/>
    <w:rsid w:val="00E62AB3"/>
    <w:rsid w:val="00E62CEC"/>
    <w:rsid w:val="00E6457E"/>
    <w:rsid w:val="00E66226"/>
    <w:rsid w:val="00E674CB"/>
    <w:rsid w:val="00E71206"/>
    <w:rsid w:val="00E71AC8"/>
    <w:rsid w:val="00E71E3A"/>
    <w:rsid w:val="00E72812"/>
    <w:rsid w:val="00E73AF8"/>
    <w:rsid w:val="00E73F81"/>
    <w:rsid w:val="00E744AD"/>
    <w:rsid w:val="00E74C0F"/>
    <w:rsid w:val="00E75C48"/>
    <w:rsid w:val="00E77641"/>
    <w:rsid w:val="00E8014F"/>
    <w:rsid w:val="00E80295"/>
    <w:rsid w:val="00E82A56"/>
    <w:rsid w:val="00E83113"/>
    <w:rsid w:val="00E839EB"/>
    <w:rsid w:val="00E84083"/>
    <w:rsid w:val="00E8418D"/>
    <w:rsid w:val="00E84206"/>
    <w:rsid w:val="00E8617E"/>
    <w:rsid w:val="00E87138"/>
    <w:rsid w:val="00E87B6D"/>
    <w:rsid w:val="00E87D28"/>
    <w:rsid w:val="00E90A0D"/>
    <w:rsid w:val="00E9183E"/>
    <w:rsid w:val="00E918A8"/>
    <w:rsid w:val="00E91F52"/>
    <w:rsid w:val="00E92337"/>
    <w:rsid w:val="00E93D94"/>
    <w:rsid w:val="00E9446D"/>
    <w:rsid w:val="00E9565A"/>
    <w:rsid w:val="00E95A87"/>
    <w:rsid w:val="00E9798B"/>
    <w:rsid w:val="00E97E4C"/>
    <w:rsid w:val="00EA11B2"/>
    <w:rsid w:val="00EA129E"/>
    <w:rsid w:val="00EA1CC2"/>
    <w:rsid w:val="00EA31A1"/>
    <w:rsid w:val="00EA4187"/>
    <w:rsid w:val="00EA4498"/>
    <w:rsid w:val="00EA5E11"/>
    <w:rsid w:val="00EA7AB8"/>
    <w:rsid w:val="00EB1713"/>
    <w:rsid w:val="00EB1BC6"/>
    <w:rsid w:val="00EB2A64"/>
    <w:rsid w:val="00EB4DD7"/>
    <w:rsid w:val="00EB644F"/>
    <w:rsid w:val="00EB6519"/>
    <w:rsid w:val="00EB6A98"/>
    <w:rsid w:val="00EB7C47"/>
    <w:rsid w:val="00EC0467"/>
    <w:rsid w:val="00EC0A34"/>
    <w:rsid w:val="00EC314A"/>
    <w:rsid w:val="00EC318C"/>
    <w:rsid w:val="00EC3933"/>
    <w:rsid w:val="00EC4566"/>
    <w:rsid w:val="00EC4B10"/>
    <w:rsid w:val="00EC6553"/>
    <w:rsid w:val="00ED5222"/>
    <w:rsid w:val="00ED7AF5"/>
    <w:rsid w:val="00ED7BEE"/>
    <w:rsid w:val="00EE1AAA"/>
    <w:rsid w:val="00EE246C"/>
    <w:rsid w:val="00EE30F5"/>
    <w:rsid w:val="00EE41A3"/>
    <w:rsid w:val="00EE72ED"/>
    <w:rsid w:val="00EE7EEF"/>
    <w:rsid w:val="00EF0B05"/>
    <w:rsid w:val="00EF0E13"/>
    <w:rsid w:val="00EF2387"/>
    <w:rsid w:val="00EF2A52"/>
    <w:rsid w:val="00EF3D4C"/>
    <w:rsid w:val="00EF4F81"/>
    <w:rsid w:val="00EF5EBC"/>
    <w:rsid w:val="00F004A0"/>
    <w:rsid w:val="00F01090"/>
    <w:rsid w:val="00F01DD6"/>
    <w:rsid w:val="00F03ACB"/>
    <w:rsid w:val="00F04CA2"/>
    <w:rsid w:val="00F06D6D"/>
    <w:rsid w:val="00F07D0F"/>
    <w:rsid w:val="00F07DEB"/>
    <w:rsid w:val="00F107CD"/>
    <w:rsid w:val="00F14FD0"/>
    <w:rsid w:val="00F203A0"/>
    <w:rsid w:val="00F21414"/>
    <w:rsid w:val="00F22551"/>
    <w:rsid w:val="00F22FD5"/>
    <w:rsid w:val="00F2384D"/>
    <w:rsid w:val="00F23D88"/>
    <w:rsid w:val="00F23EB0"/>
    <w:rsid w:val="00F2642B"/>
    <w:rsid w:val="00F26E58"/>
    <w:rsid w:val="00F31771"/>
    <w:rsid w:val="00F318B1"/>
    <w:rsid w:val="00F31A57"/>
    <w:rsid w:val="00F32937"/>
    <w:rsid w:val="00F342DB"/>
    <w:rsid w:val="00F34C50"/>
    <w:rsid w:val="00F35770"/>
    <w:rsid w:val="00F371E1"/>
    <w:rsid w:val="00F373BB"/>
    <w:rsid w:val="00F37AF1"/>
    <w:rsid w:val="00F41102"/>
    <w:rsid w:val="00F4231E"/>
    <w:rsid w:val="00F434D0"/>
    <w:rsid w:val="00F44701"/>
    <w:rsid w:val="00F5192B"/>
    <w:rsid w:val="00F53EF4"/>
    <w:rsid w:val="00F54D3B"/>
    <w:rsid w:val="00F56FEB"/>
    <w:rsid w:val="00F57A3A"/>
    <w:rsid w:val="00F61F7B"/>
    <w:rsid w:val="00F62729"/>
    <w:rsid w:val="00F62A5F"/>
    <w:rsid w:val="00F66178"/>
    <w:rsid w:val="00F66596"/>
    <w:rsid w:val="00F665CD"/>
    <w:rsid w:val="00F725F0"/>
    <w:rsid w:val="00F750A6"/>
    <w:rsid w:val="00F756A8"/>
    <w:rsid w:val="00F759C9"/>
    <w:rsid w:val="00F81094"/>
    <w:rsid w:val="00F84B32"/>
    <w:rsid w:val="00F8513E"/>
    <w:rsid w:val="00F90B9A"/>
    <w:rsid w:val="00F94E96"/>
    <w:rsid w:val="00F965A4"/>
    <w:rsid w:val="00F971DA"/>
    <w:rsid w:val="00F97DA1"/>
    <w:rsid w:val="00FA02FD"/>
    <w:rsid w:val="00FA0BB1"/>
    <w:rsid w:val="00FA2498"/>
    <w:rsid w:val="00FA38F1"/>
    <w:rsid w:val="00FA3B0F"/>
    <w:rsid w:val="00FA4A56"/>
    <w:rsid w:val="00FA5D15"/>
    <w:rsid w:val="00FA699B"/>
    <w:rsid w:val="00FA7D84"/>
    <w:rsid w:val="00FB0583"/>
    <w:rsid w:val="00FB0BD8"/>
    <w:rsid w:val="00FB1382"/>
    <w:rsid w:val="00FB43B5"/>
    <w:rsid w:val="00FB453A"/>
    <w:rsid w:val="00FC13C1"/>
    <w:rsid w:val="00FC1EC2"/>
    <w:rsid w:val="00FC43C3"/>
    <w:rsid w:val="00FC5CCA"/>
    <w:rsid w:val="00FD1322"/>
    <w:rsid w:val="00FD150A"/>
    <w:rsid w:val="00FD274C"/>
    <w:rsid w:val="00FD2C6F"/>
    <w:rsid w:val="00FD38DB"/>
    <w:rsid w:val="00FD3F05"/>
    <w:rsid w:val="00FD43F6"/>
    <w:rsid w:val="00FD4640"/>
    <w:rsid w:val="00FD4826"/>
    <w:rsid w:val="00FD51C5"/>
    <w:rsid w:val="00FD6416"/>
    <w:rsid w:val="00FD6758"/>
    <w:rsid w:val="00FD6972"/>
    <w:rsid w:val="00FD725A"/>
    <w:rsid w:val="00FE0509"/>
    <w:rsid w:val="00FE09B0"/>
    <w:rsid w:val="00FE3AAE"/>
    <w:rsid w:val="00FE5335"/>
    <w:rsid w:val="00FE6FA4"/>
    <w:rsid w:val="00FE72BF"/>
    <w:rsid w:val="00FE7505"/>
    <w:rsid w:val="00FF1004"/>
    <w:rsid w:val="00FF1B11"/>
    <w:rsid w:val="00FF2669"/>
    <w:rsid w:val="00FF36C6"/>
    <w:rsid w:val="00FF48AF"/>
    <w:rsid w:val="00FF55E0"/>
    <w:rsid w:val="00FF60D2"/>
    <w:rsid w:val="00FF665F"/>
    <w:rsid w:val="00FF69E1"/>
    <w:rsid w:val="00FF788D"/>
    <w:rsid w:val="04C63F36"/>
    <w:rsid w:val="0E9E0213"/>
    <w:rsid w:val="1AD35A31"/>
    <w:rsid w:val="233A547F"/>
    <w:rsid w:val="24EA2059"/>
    <w:rsid w:val="2ADE13A5"/>
    <w:rsid w:val="420855AA"/>
    <w:rsid w:val="43F263DD"/>
    <w:rsid w:val="44027B9A"/>
    <w:rsid w:val="4DFA17CF"/>
    <w:rsid w:val="519B221A"/>
    <w:rsid w:val="5AEB20AC"/>
    <w:rsid w:val="65624A79"/>
    <w:rsid w:val="65B55C76"/>
    <w:rsid w:val="68A968ED"/>
    <w:rsid w:val="6E7643B4"/>
    <w:rsid w:val="72943FF6"/>
    <w:rsid w:val="76BB0C1A"/>
    <w:rsid w:val="782C18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link w:val="19"/>
    <w:autoRedefine/>
    <w:qFormat/>
    <w:uiPriority w:val="9"/>
    <w:pPr>
      <w:numPr>
        <w:ilvl w:val="0"/>
        <w:numId w:val="1"/>
      </w:numPr>
      <w:tabs>
        <w:tab w:val="left" w:pos="1418"/>
      </w:tabs>
      <w:spacing w:line="360" w:lineRule="auto"/>
      <w:ind w:left="0" w:firstLine="200"/>
      <w:outlineLvl w:val="0"/>
    </w:pPr>
    <w:rPr>
      <w:rFonts w:ascii="Times New Roman" w:hAnsi="Times New Roman" w:eastAsia="黑体" w:cs="Times New Roman"/>
      <w:b/>
      <w:sz w:val="30"/>
      <w:szCs w:val="21"/>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3">
    <w:name w:val="List Paragraph"/>
    <w:basedOn w:val="1"/>
    <w:autoRedefine/>
    <w:qFormat/>
    <w:uiPriority w:val="34"/>
    <w:pPr>
      <w:ind w:firstLine="420" w:firstLineChars="200"/>
    </w:pPr>
  </w:style>
  <w:style w:type="paragraph" w:styleId="4">
    <w:name w:val="annotation text"/>
    <w:basedOn w:val="1"/>
    <w:link w:val="26"/>
    <w:autoRedefine/>
    <w:semiHidden/>
    <w:unhideWhenUsed/>
    <w:qFormat/>
    <w:uiPriority w:val="99"/>
    <w:pPr>
      <w:jc w:val="left"/>
    </w:pPr>
  </w:style>
  <w:style w:type="paragraph" w:styleId="5">
    <w:name w:val="Date"/>
    <w:basedOn w:val="1"/>
    <w:next w:val="1"/>
    <w:link w:val="29"/>
    <w:autoRedefine/>
    <w:semiHidden/>
    <w:unhideWhenUsed/>
    <w:qFormat/>
    <w:uiPriority w:val="99"/>
    <w:pPr>
      <w:ind w:left="100" w:leftChars="2500"/>
    </w:pPr>
  </w:style>
  <w:style w:type="paragraph" w:styleId="6">
    <w:name w:val="Balloon Text"/>
    <w:basedOn w:val="1"/>
    <w:link w:val="21"/>
    <w:autoRedefine/>
    <w:semiHidden/>
    <w:unhideWhenUsed/>
    <w:qFormat/>
    <w:uiPriority w:val="99"/>
    <w:rPr>
      <w:sz w:val="18"/>
      <w:szCs w:val="18"/>
    </w:rPr>
  </w:style>
  <w:style w:type="paragraph" w:styleId="7">
    <w:name w:val="footer"/>
    <w:basedOn w:val="1"/>
    <w:link w:val="25"/>
    <w:autoRedefine/>
    <w:unhideWhenUsed/>
    <w:qFormat/>
    <w:uiPriority w:val="99"/>
    <w:pPr>
      <w:tabs>
        <w:tab w:val="center" w:pos="4153"/>
        <w:tab w:val="right" w:pos="8306"/>
      </w:tabs>
      <w:snapToGrid w:val="0"/>
      <w:jc w:val="left"/>
    </w:pPr>
    <w:rPr>
      <w:sz w:val="18"/>
      <w:szCs w:val="18"/>
    </w:rPr>
  </w:style>
  <w:style w:type="paragraph" w:styleId="8">
    <w:name w:val="header"/>
    <w:basedOn w:val="1"/>
    <w:link w:val="2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0">
    <w:name w:val="Title"/>
    <w:basedOn w:val="1"/>
    <w:next w:val="1"/>
    <w:link w:val="33"/>
    <w:autoRedefine/>
    <w:qFormat/>
    <w:uiPriority w:val="10"/>
    <w:pPr>
      <w:spacing w:beforeLines="50" w:afterLines="50" w:line="360" w:lineRule="auto"/>
      <w:jc w:val="center"/>
      <w:outlineLvl w:val="0"/>
    </w:pPr>
    <w:rPr>
      <w:rFonts w:ascii="Times New Roman" w:hAnsi="Times New Roman" w:eastAsia="黑体" w:cstheme="majorBidi"/>
      <w:b/>
      <w:bCs/>
      <w:sz w:val="36"/>
      <w:szCs w:val="32"/>
    </w:rPr>
  </w:style>
  <w:style w:type="paragraph" w:styleId="11">
    <w:name w:val="annotation subject"/>
    <w:basedOn w:val="4"/>
    <w:next w:val="4"/>
    <w:link w:val="27"/>
    <w:autoRedefine/>
    <w:semiHidden/>
    <w:unhideWhenUsed/>
    <w:qFormat/>
    <w:uiPriority w:val="99"/>
    <w:rPr>
      <w:b/>
      <w:bCs/>
    </w:rPr>
  </w:style>
  <w:style w:type="table" w:styleId="13">
    <w:name w:val="Table Grid"/>
    <w:basedOn w:val="12"/>
    <w:autoRedefine/>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autoRedefine/>
    <w:qFormat/>
    <w:uiPriority w:val="22"/>
    <w:rPr>
      <w:b/>
      <w:bCs/>
    </w:rPr>
  </w:style>
  <w:style w:type="character" w:styleId="16">
    <w:name w:val="FollowedHyperlink"/>
    <w:basedOn w:val="14"/>
    <w:autoRedefine/>
    <w:semiHidden/>
    <w:unhideWhenUsed/>
    <w:qFormat/>
    <w:uiPriority w:val="99"/>
    <w:rPr>
      <w:rFonts w:hint="default" w:ascii="Tahoma" w:hAnsi="Tahoma" w:eastAsia="Tahoma" w:cs="Tahoma"/>
      <w:color w:val="003399"/>
      <w:sz w:val="18"/>
      <w:szCs w:val="18"/>
      <w:u w:val="none"/>
    </w:rPr>
  </w:style>
  <w:style w:type="character" w:styleId="17">
    <w:name w:val="Hyperlink"/>
    <w:basedOn w:val="14"/>
    <w:autoRedefine/>
    <w:unhideWhenUsed/>
    <w:qFormat/>
    <w:uiPriority w:val="99"/>
    <w:rPr>
      <w:color w:val="0000FF" w:themeColor="hyperlink"/>
      <w:u w:val="single"/>
      <w14:textFill>
        <w14:solidFill>
          <w14:schemeClr w14:val="hlink"/>
        </w14:solidFill>
      </w14:textFill>
    </w:rPr>
  </w:style>
  <w:style w:type="character" w:styleId="18">
    <w:name w:val="annotation reference"/>
    <w:basedOn w:val="14"/>
    <w:autoRedefine/>
    <w:semiHidden/>
    <w:unhideWhenUsed/>
    <w:qFormat/>
    <w:uiPriority w:val="99"/>
    <w:rPr>
      <w:sz w:val="21"/>
      <w:szCs w:val="21"/>
    </w:rPr>
  </w:style>
  <w:style w:type="character" w:customStyle="1" w:styleId="19">
    <w:name w:val="标题 1 字符"/>
    <w:basedOn w:val="14"/>
    <w:link w:val="2"/>
    <w:autoRedefine/>
    <w:qFormat/>
    <w:uiPriority w:val="9"/>
    <w:rPr>
      <w:rFonts w:ascii="Times New Roman" w:hAnsi="Times New Roman" w:eastAsia="黑体" w:cs="Times New Roman"/>
      <w:b/>
      <w:sz w:val="30"/>
      <w:szCs w:val="21"/>
    </w:rPr>
  </w:style>
  <w:style w:type="paragraph" w:customStyle="1" w:styleId="20">
    <w:name w:val="Default"/>
    <w:autoRedefine/>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21">
    <w:name w:val="批注框文本 字符"/>
    <w:basedOn w:val="14"/>
    <w:link w:val="6"/>
    <w:autoRedefine/>
    <w:semiHidden/>
    <w:qFormat/>
    <w:uiPriority w:val="99"/>
    <w:rPr>
      <w:sz w:val="18"/>
      <w:szCs w:val="18"/>
    </w:rPr>
  </w:style>
  <w:style w:type="character" w:customStyle="1" w:styleId="22">
    <w:name w:val="无间隔 Char"/>
    <w:link w:val="23"/>
    <w:autoRedefine/>
    <w:qFormat/>
    <w:locked/>
    <w:uiPriority w:val="0"/>
    <w:rPr>
      <w:rFonts w:ascii="Calibri" w:hAnsi="Calibri" w:eastAsia="宋体" w:cs="Times New Roman"/>
      <w:kern w:val="0"/>
      <w:sz w:val="22"/>
    </w:rPr>
  </w:style>
  <w:style w:type="paragraph" w:customStyle="1" w:styleId="23">
    <w:name w:val="无间隔1"/>
    <w:link w:val="22"/>
    <w:autoRedefine/>
    <w:qFormat/>
    <w:uiPriority w:val="0"/>
    <w:rPr>
      <w:rFonts w:ascii="Calibri" w:hAnsi="Calibri" w:eastAsia="宋体" w:cs="Times New Roman"/>
      <w:kern w:val="0"/>
      <w:sz w:val="22"/>
      <w:szCs w:val="22"/>
      <w:lang w:val="en-US" w:eastAsia="zh-CN" w:bidi="ar-SA"/>
    </w:rPr>
  </w:style>
  <w:style w:type="character" w:customStyle="1" w:styleId="24">
    <w:name w:val="页眉 字符"/>
    <w:basedOn w:val="14"/>
    <w:link w:val="8"/>
    <w:autoRedefine/>
    <w:qFormat/>
    <w:uiPriority w:val="99"/>
    <w:rPr>
      <w:sz w:val="18"/>
      <w:szCs w:val="18"/>
    </w:rPr>
  </w:style>
  <w:style w:type="character" w:customStyle="1" w:styleId="25">
    <w:name w:val="页脚 字符"/>
    <w:basedOn w:val="14"/>
    <w:link w:val="7"/>
    <w:autoRedefine/>
    <w:qFormat/>
    <w:uiPriority w:val="99"/>
    <w:rPr>
      <w:sz w:val="18"/>
      <w:szCs w:val="18"/>
    </w:rPr>
  </w:style>
  <w:style w:type="character" w:customStyle="1" w:styleId="26">
    <w:name w:val="批注文字 字符"/>
    <w:basedOn w:val="14"/>
    <w:link w:val="4"/>
    <w:autoRedefine/>
    <w:semiHidden/>
    <w:qFormat/>
    <w:uiPriority w:val="99"/>
  </w:style>
  <w:style w:type="character" w:customStyle="1" w:styleId="27">
    <w:name w:val="批注主题 字符"/>
    <w:basedOn w:val="26"/>
    <w:link w:val="11"/>
    <w:autoRedefine/>
    <w:semiHidden/>
    <w:qFormat/>
    <w:uiPriority w:val="99"/>
    <w:rPr>
      <w:b/>
      <w:bCs/>
    </w:rPr>
  </w:style>
  <w:style w:type="character" w:customStyle="1" w:styleId="28">
    <w:name w:val="apple-converted-space"/>
    <w:basedOn w:val="14"/>
    <w:autoRedefine/>
    <w:qFormat/>
    <w:uiPriority w:val="0"/>
  </w:style>
  <w:style w:type="character" w:customStyle="1" w:styleId="29">
    <w:name w:val="日期 字符"/>
    <w:basedOn w:val="14"/>
    <w:link w:val="5"/>
    <w:autoRedefine/>
    <w:semiHidden/>
    <w:qFormat/>
    <w:uiPriority w:val="99"/>
  </w:style>
  <w:style w:type="paragraph" w:customStyle="1" w:styleId="30">
    <w:name w:val="Revision"/>
    <w:autoRedefine/>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1">
    <w:name w:val="Char"/>
    <w:basedOn w:val="1"/>
    <w:autoRedefine/>
    <w:semiHidden/>
    <w:qFormat/>
    <w:uiPriority w:val="0"/>
    <w:rPr>
      <w:rFonts w:ascii="Times New Roman" w:hAnsi="Times New Roman" w:eastAsia="仿宋_GB2312" w:cs="Times New Roman"/>
      <w:sz w:val="28"/>
      <w:szCs w:val="24"/>
    </w:rPr>
  </w:style>
  <w:style w:type="paragraph" w:customStyle="1" w:styleId="32">
    <w:name w:val="列表段落1"/>
    <w:basedOn w:val="1"/>
    <w:autoRedefine/>
    <w:qFormat/>
    <w:uiPriority w:val="0"/>
    <w:pPr>
      <w:ind w:firstLine="420" w:firstLineChars="200"/>
    </w:pPr>
    <w:rPr>
      <w:rFonts w:ascii="Times New Roman" w:hAnsi="Times New Roman" w:eastAsia="宋体" w:cs="Times New Roman"/>
      <w:szCs w:val="20"/>
    </w:rPr>
  </w:style>
  <w:style w:type="character" w:customStyle="1" w:styleId="33">
    <w:name w:val="标题 字符"/>
    <w:basedOn w:val="14"/>
    <w:link w:val="10"/>
    <w:autoRedefine/>
    <w:qFormat/>
    <w:uiPriority w:val="10"/>
    <w:rPr>
      <w:rFonts w:ascii="Times New Roman" w:hAnsi="Times New Roman" w:eastAsia="黑体" w:cstheme="majorBidi"/>
      <w:b/>
      <w:bCs/>
      <w:sz w:val="36"/>
      <w:szCs w:val="32"/>
    </w:rPr>
  </w:style>
  <w:style w:type="paragraph" w:customStyle="1" w:styleId="34">
    <w:name w:val="附件"/>
    <w:basedOn w:val="1"/>
    <w:next w:val="1"/>
    <w:autoRedefine/>
    <w:qFormat/>
    <w:uiPriority w:val="0"/>
    <w:pPr>
      <w:spacing w:line="360" w:lineRule="auto"/>
    </w:pPr>
    <w:rPr>
      <w:rFonts w:ascii="Times New Roman" w:hAnsi="Times New Roman" w:eastAsia="黑体"/>
      <w:sz w:val="30"/>
      <w:szCs w:val="21"/>
    </w:rPr>
  </w:style>
  <w:style w:type="character" w:customStyle="1" w:styleId="35">
    <w:name w:val="fontstyle11"/>
    <w:basedOn w:val="14"/>
    <w:autoRedefine/>
    <w:qFormat/>
    <w:uiPriority w:val="0"/>
    <w:rPr>
      <w:rFonts w:hint="default" w:ascii="TimesNewRomanPSMT" w:hAnsi="TimesNewRomanPSMT"/>
      <w:color w:val="000000"/>
      <w:sz w:val="28"/>
      <w:szCs w:val="28"/>
    </w:rPr>
  </w:style>
  <w:style w:type="paragraph" w:customStyle="1" w:styleId="36">
    <w:name w:val="图标题zz"/>
    <w:basedOn w:val="1"/>
    <w:autoRedefine/>
    <w:qFormat/>
    <w:uiPriority w:val="0"/>
    <w:pPr>
      <w:spacing w:after="156" w:afterLines="50"/>
      <w:ind w:firstLine="422"/>
      <w:jc w:val="center"/>
    </w:pPr>
    <w:rPr>
      <w:rFonts w:ascii="仿宋" w:hAnsi="仿宋"/>
      <w:b/>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35B54-2351-4443-BD30-978A2826565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255</Words>
  <Characters>1458</Characters>
  <Lines>12</Lines>
  <Paragraphs>3</Paragraphs>
  <TotalTime>62</TotalTime>
  <ScaleCrop>false</ScaleCrop>
  <LinksUpToDate>false</LinksUpToDate>
  <CharactersWithSpaces>1710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2019-05-30T08:29:00Z</dcterms:created>
  <dc:creator>y</dc:creator>
  <cp:lastModifiedBy>Chang</cp:lastModifiedBy>
  <cp:lastPrinted>2023-09-25T03:49:00Z</cp:lastPrinted>
  <dcterms:modified xsi:type="dcterms:W3CDTF">2024-04-11T01:26:38Z</dcterms:modified>
  <cp:revision>1774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2B62A6744B1B4958806BCF30B81D65FA_13</vt:lpwstr>
  </property>
</Properties>
</file>