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附件：</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生态环境部南京环境科学研究所</w:t>
      </w:r>
      <w:r>
        <w:rPr>
          <w:rFonts w:hint="eastAsia" w:ascii="微软雅黑" w:hAnsi="微软雅黑" w:eastAsia="微软雅黑" w:cs="微软雅黑"/>
          <w:sz w:val="24"/>
          <w:szCs w:val="24"/>
        </w:rPr>
        <w:t>2023年博士后招收需求表</w:t>
      </w:r>
    </w:p>
    <w:tbl>
      <w:tblPr>
        <w:tblStyle w:val="6"/>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1571"/>
        <w:gridCol w:w="2448"/>
        <w:gridCol w:w="1067"/>
        <w:gridCol w:w="1002"/>
        <w:gridCol w:w="3775"/>
        <w:gridCol w:w="3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blHeader/>
        </w:trPr>
        <w:tc>
          <w:tcPr>
            <w:tcW w:w="188" w:type="pct"/>
            <w:tcBorders>
              <w:top w:val="single" w:color="auto" w:sz="4" w:space="0"/>
              <w:left w:val="single" w:color="auto" w:sz="4" w:space="0"/>
              <w:bottom w:val="single" w:color="auto" w:sz="4" w:space="0"/>
              <w:right w:val="single" w:color="auto" w:sz="4" w:space="0"/>
            </w:tcBorders>
            <w:shd w:val="clear" w:color="auto" w:fill="D7D7D7"/>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No</w:t>
            </w:r>
          </w:p>
        </w:tc>
        <w:tc>
          <w:tcPr>
            <w:tcW w:w="555" w:type="pct"/>
            <w:tcBorders>
              <w:top w:val="single" w:color="auto" w:sz="4" w:space="0"/>
              <w:left w:val="single" w:color="auto" w:sz="4" w:space="0"/>
              <w:bottom w:val="single" w:color="auto" w:sz="4" w:space="0"/>
              <w:right w:val="single" w:color="auto" w:sz="4" w:space="0"/>
            </w:tcBorders>
            <w:shd w:val="clear" w:color="auto" w:fill="D7D7D7"/>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学科领域</w:t>
            </w:r>
          </w:p>
        </w:tc>
        <w:tc>
          <w:tcPr>
            <w:tcW w:w="865" w:type="pct"/>
            <w:tcBorders>
              <w:top w:val="single" w:color="auto" w:sz="4" w:space="0"/>
              <w:left w:val="single" w:color="auto" w:sz="4" w:space="0"/>
              <w:bottom w:val="single" w:color="auto" w:sz="4" w:space="0"/>
              <w:right w:val="single" w:color="auto" w:sz="4" w:space="0"/>
            </w:tcBorders>
            <w:shd w:val="clear" w:color="auto" w:fill="D7D7D7"/>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研究方向</w:t>
            </w:r>
          </w:p>
        </w:tc>
        <w:tc>
          <w:tcPr>
            <w:tcW w:w="377" w:type="pct"/>
            <w:tcBorders>
              <w:top w:val="single" w:color="auto" w:sz="4" w:space="0"/>
              <w:left w:val="single" w:color="auto" w:sz="4" w:space="0"/>
              <w:bottom w:val="single" w:color="auto" w:sz="4" w:space="0"/>
              <w:right w:val="single" w:color="auto" w:sz="4" w:space="0"/>
            </w:tcBorders>
            <w:shd w:val="clear" w:color="auto" w:fill="D7D7D7"/>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合作导师</w:t>
            </w:r>
          </w:p>
        </w:tc>
        <w:tc>
          <w:tcPr>
            <w:tcW w:w="354" w:type="pct"/>
            <w:tcBorders>
              <w:top w:val="single" w:color="auto" w:sz="4" w:space="0"/>
              <w:left w:val="single" w:color="auto" w:sz="4" w:space="0"/>
              <w:bottom w:val="single" w:color="auto" w:sz="4" w:space="0"/>
              <w:right w:val="single" w:color="auto" w:sz="4" w:space="0"/>
            </w:tcBorders>
            <w:shd w:val="clear" w:color="auto" w:fill="D7D7D7"/>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职称</w:t>
            </w:r>
          </w:p>
        </w:tc>
        <w:tc>
          <w:tcPr>
            <w:tcW w:w="1334" w:type="pct"/>
            <w:tcBorders>
              <w:top w:val="single" w:color="auto" w:sz="4" w:space="0"/>
              <w:left w:val="single" w:color="auto" w:sz="4" w:space="0"/>
              <w:bottom w:val="single" w:color="auto" w:sz="4" w:space="0"/>
              <w:right w:val="single" w:color="auto" w:sz="4" w:space="0"/>
            </w:tcBorders>
            <w:shd w:val="clear" w:color="auto" w:fill="D7D7D7"/>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研究项目任务</w:t>
            </w:r>
          </w:p>
        </w:tc>
        <w:tc>
          <w:tcPr>
            <w:tcW w:w="1323" w:type="pct"/>
            <w:tcBorders>
              <w:top w:val="single" w:color="auto" w:sz="4" w:space="0"/>
              <w:left w:val="single" w:color="auto" w:sz="4" w:space="0"/>
              <w:bottom w:val="single" w:color="auto" w:sz="4" w:space="0"/>
              <w:right w:val="single" w:color="auto" w:sz="4" w:space="0"/>
            </w:tcBorders>
            <w:shd w:val="clear" w:color="auto" w:fill="D7D7D7"/>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招收条件要求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8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生态保护与修复研究</w:t>
            </w:r>
          </w:p>
        </w:tc>
        <w:tc>
          <w:tcPr>
            <w:tcW w:w="8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生态系统要素遥感诊断与风险评估技术研究</w:t>
            </w:r>
          </w:p>
        </w:tc>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邹长新</w:t>
            </w:r>
          </w:p>
        </w:tc>
        <w:tc>
          <w:tcPr>
            <w:tcW w:w="3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研究员</w:t>
            </w:r>
          </w:p>
        </w:tc>
        <w:tc>
          <w:tcPr>
            <w:tcW w:w="133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1.</w:t>
            </w:r>
            <w:r>
              <w:rPr>
                <w:rFonts w:hint="eastAsia" w:ascii="仿宋" w:hAnsi="仿宋" w:eastAsia="仿宋" w:cs="仿宋"/>
                <w:color w:val="000000"/>
                <w:sz w:val="21"/>
                <w:szCs w:val="21"/>
              </w:rPr>
              <w:t>研发基于高精度遥感影像为主的人类活动影响准确识别技术</w:t>
            </w:r>
            <w:r>
              <w:rPr>
                <w:rFonts w:hint="eastAsia" w:ascii="仿宋" w:hAnsi="仿宋" w:eastAsia="仿宋" w:cs="仿宋"/>
                <w:color w:val="000000"/>
                <w:sz w:val="21"/>
                <w:szCs w:val="21"/>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rPr>
              <w:t>建立面向业务化应用的生态风险评估预警模型。</w:t>
            </w:r>
          </w:p>
        </w:tc>
        <w:tc>
          <w:tcPr>
            <w:tcW w:w="13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1.生态学、</w:t>
            </w:r>
            <w:r>
              <w:rPr>
                <w:rFonts w:hint="eastAsia" w:ascii="仿宋" w:hAnsi="仿宋" w:eastAsia="仿宋" w:cs="仿宋"/>
                <w:color w:val="000000"/>
                <w:sz w:val="21"/>
                <w:szCs w:val="21"/>
                <w:lang w:val="en-US" w:eastAsia="zh-CN"/>
              </w:rPr>
              <w:t>生态遥感</w:t>
            </w:r>
            <w:r>
              <w:rPr>
                <w:rFonts w:hint="eastAsia" w:ascii="仿宋" w:hAnsi="仿宋" w:eastAsia="仿宋" w:cs="仿宋"/>
                <w:color w:val="000000"/>
                <w:sz w:val="21"/>
                <w:szCs w:val="21"/>
              </w:rPr>
              <w:t>等相关专业背景；</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2.以一作</w:t>
            </w:r>
            <w:r>
              <w:rPr>
                <w:rFonts w:hint="eastAsia" w:ascii="仿宋" w:hAnsi="仿宋" w:eastAsia="仿宋" w:cs="仿宋"/>
                <w:color w:val="000000"/>
                <w:sz w:val="21"/>
                <w:szCs w:val="21"/>
              </w:rPr>
              <w:t>发表SCI论文</w:t>
            </w: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rPr>
              <w:t>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8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5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生态保护与修复研究</w:t>
            </w:r>
          </w:p>
        </w:tc>
        <w:tc>
          <w:tcPr>
            <w:tcW w:w="8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三水统筹协同治理的湖泊</w:t>
            </w:r>
            <w:r>
              <w:rPr>
                <w:rFonts w:hint="eastAsia" w:ascii="仿宋" w:hAnsi="仿宋" w:eastAsia="仿宋" w:cs="仿宋"/>
                <w:color w:val="000000"/>
                <w:sz w:val="21"/>
                <w:szCs w:val="21"/>
              </w:rPr>
              <w:t>生态</w:t>
            </w:r>
            <w:r>
              <w:rPr>
                <w:rFonts w:hint="eastAsia" w:ascii="仿宋" w:hAnsi="仿宋" w:eastAsia="仿宋" w:cs="仿宋"/>
                <w:color w:val="000000"/>
                <w:sz w:val="21"/>
                <w:szCs w:val="21"/>
                <w:lang w:val="en-US" w:eastAsia="zh-CN"/>
              </w:rPr>
              <w:t>风险评估及功能提升关键技术研究</w:t>
            </w:r>
          </w:p>
        </w:tc>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王文林</w:t>
            </w:r>
          </w:p>
        </w:tc>
        <w:tc>
          <w:tcPr>
            <w:tcW w:w="3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研究员</w:t>
            </w:r>
          </w:p>
        </w:tc>
        <w:tc>
          <w:tcPr>
            <w:tcW w:w="133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1.开展跨区域、多尺度的湖泊污染溯源和生态环境风险演化过程模拟研究；</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2.研究气候变化和人类活动对湖泊湿地生态安全影响机制，研发三水统筹协同治理的生态保护修复和功能提升关键技术。</w:t>
            </w:r>
          </w:p>
        </w:tc>
        <w:tc>
          <w:tcPr>
            <w:tcW w:w="13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1.生态学、</w:t>
            </w:r>
            <w:r>
              <w:rPr>
                <w:rFonts w:hint="eastAsia" w:ascii="仿宋" w:hAnsi="仿宋" w:eastAsia="仿宋" w:cs="仿宋"/>
                <w:color w:val="000000"/>
                <w:sz w:val="21"/>
                <w:szCs w:val="21"/>
                <w:lang w:val="en-US" w:eastAsia="zh-CN"/>
              </w:rPr>
              <w:t>环境学、地理学</w:t>
            </w:r>
            <w:r>
              <w:rPr>
                <w:rFonts w:hint="eastAsia" w:ascii="仿宋" w:hAnsi="仿宋" w:eastAsia="仿宋" w:cs="仿宋"/>
                <w:color w:val="000000"/>
                <w:sz w:val="21"/>
                <w:szCs w:val="21"/>
              </w:rPr>
              <w:t>等相关专业背景；</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2.以一作</w:t>
            </w:r>
            <w:r>
              <w:rPr>
                <w:rFonts w:hint="eastAsia" w:ascii="仿宋" w:hAnsi="仿宋" w:eastAsia="仿宋" w:cs="仿宋"/>
                <w:color w:val="000000"/>
                <w:sz w:val="21"/>
                <w:szCs w:val="21"/>
              </w:rPr>
              <w:t>发表SCI论文</w:t>
            </w: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rPr>
              <w:t>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8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555"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自然保护地研究</w:t>
            </w:r>
          </w:p>
        </w:tc>
        <w:tc>
          <w:tcPr>
            <w:tcW w:w="8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大样地生态数字化监测与生态风险评估</w:t>
            </w:r>
          </w:p>
        </w:tc>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高军</w:t>
            </w:r>
          </w:p>
        </w:tc>
        <w:tc>
          <w:tcPr>
            <w:tcW w:w="3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正高级工程师</w:t>
            </w:r>
          </w:p>
        </w:tc>
        <w:tc>
          <w:tcPr>
            <w:tcW w:w="133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1.研发利用激光雷达点云数据批量提取植被单木结构参数技术方法；</w:t>
            </w:r>
          </w:p>
          <w:p>
            <w:pPr>
              <w:keepNext w:val="0"/>
              <w:keepLines w:val="0"/>
              <w:pageBreakBefore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2.构建长期、多源、多尺度的数字化动态监测体系；</w:t>
            </w:r>
          </w:p>
          <w:p>
            <w:pPr>
              <w:keepNext w:val="0"/>
              <w:keepLines w:val="0"/>
              <w:pageBreakBefore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3.研究空间利用变化格局、气候变化对生态产品价值、生物多样性保护和生态安全的影响驱动机制；</w:t>
            </w:r>
          </w:p>
          <w:p>
            <w:pPr>
              <w:keepNext w:val="0"/>
              <w:keepLines w:val="0"/>
              <w:pageBreakBefore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4.研发生态风险监测评估预测预警和生态安全维护关键技术。</w:t>
            </w:r>
          </w:p>
        </w:tc>
        <w:tc>
          <w:tcPr>
            <w:tcW w:w="13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以一作发表SCI论文1-2篇。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8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555"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生物多样性保护与生物安全研究</w:t>
            </w:r>
          </w:p>
        </w:tc>
        <w:tc>
          <w:tcPr>
            <w:tcW w:w="8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生物安全风险评估与监测</w:t>
            </w:r>
          </w:p>
        </w:tc>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刘  燕</w:t>
            </w:r>
          </w:p>
        </w:tc>
        <w:tc>
          <w:tcPr>
            <w:tcW w:w="3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研究员</w:t>
            </w:r>
          </w:p>
        </w:tc>
        <w:tc>
          <w:tcPr>
            <w:tcW w:w="133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1.</w:t>
            </w:r>
            <w:r>
              <w:rPr>
                <w:rFonts w:hint="eastAsia" w:ascii="仿宋" w:hAnsi="仿宋" w:eastAsia="仿宋" w:cs="仿宋"/>
                <w:color w:val="000000"/>
                <w:sz w:val="21"/>
                <w:szCs w:val="21"/>
              </w:rPr>
              <w:t>前沿生物技术（基因编辑、合成生物学等）环境风险评估；</w:t>
            </w: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rPr>
              <w:t>基于环境DNA的入侵生物监测与风险评估；</w:t>
            </w: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3.</w:t>
            </w:r>
            <w:r>
              <w:rPr>
                <w:rFonts w:hint="eastAsia" w:ascii="仿宋" w:hAnsi="仿宋" w:eastAsia="仿宋" w:cs="仿宋"/>
                <w:color w:val="000000"/>
                <w:sz w:val="21"/>
                <w:szCs w:val="21"/>
              </w:rPr>
              <w:t>抗生素及耐药基因的环境危害与健康风险评估。</w:t>
            </w:r>
          </w:p>
        </w:tc>
        <w:tc>
          <w:tcPr>
            <w:tcW w:w="13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1.有较好的分子生物学、基因组学或生物信息学研究基础；</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2.熟练操作核酸提取、PCR检测等分子生物学实验；</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3.有较强的写作能力，以一作发表SCI论文2篇以上。</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4.熟练使用R、SPSS等统计分析软件。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8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c>
          <w:tcPr>
            <w:tcW w:w="555"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sz w:val="21"/>
                <w:szCs w:val="21"/>
              </w:rPr>
            </w:pPr>
          </w:p>
        </w:tc>
        <w:tc>
          <w:tcPr>
            <w:tcW w:w="8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生物多样性保护</w:t>
            </w:r>
          </w:p>
        </w:tc>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卢晓强</w:t>
            </w:r>
          </w:p>
        </w:tc>
        <w:tc>
          <w:tcPr>
            <w:tcW w:w="3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研究员</w:t>
            </w:r>
          </w:p>
        </w:tc>
        <w:tc>
          <w:tcPr>
            <w:tcW w:w="133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1.</w:t>
            </w:r>
            <w:r>
              <w:rPr>
                <w:rFonts w:hint="eastAsia" w:ascii="仿宋" w:hAnsi="仿宋" w:eastAsia="仿宋" w:cs="仿宋"/>
                <w:color w:val="000000"/>
                <w:sz w:val="21"/>
                <w:szCs w:val="21"/>
              </w:rPr>
              <w:t>生物多样性调查、监测及评估；</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rPr>
              <w:t>生物多样性大数据分析与情景模拟；</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3.</w:t>
            </w:r>
            <w:r>
              <w:rPr>
                <w:rFonts w:hint="eastAsia" w:ascii="仿宋" w:hAnsi="仿宋" w:eastAsia="仿宋" w:cs="仿宋"/>
                <w:color w:val="000000"/>
                <w:sz w:val="21"/>
                <w:szCs w:val="21"/>
              </w:rPr>
              <w:t>生物多样性相关的法律法规、政策规划编制以及环境领域国际规则、程序的制定。</w:t>
            </w:r>
          </w:p>
        </w:tc>
        <w:tc>
          <w:tcPr>
            <w:tcW w:w="13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1.生态学、生物学、统计学或国际法学、环境法学等相关专业背景；</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2.法学专业以一作发表SCI/EI/CSSCI期刊1篇或中文核心2篇及以上；其他专业以一作发表SCI论文2篇及以上；</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3.具有良好沟通协调能力，适应野外出差；</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4.具有留学/海外交流（1年及以上）经历者优先。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8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555"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sz w:val="21"/>
                <w:szCs w:val="21"/>
              </w:rPr>
            </w:pPr>
          </w:p>
        </w:tc>
        <w:tc>
          <w:tcPr>
            <w:tcW w:w="8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重要栖息地、物种保护与智慧监测体系建设</w:t>
            </w:r>
          </w:p>
        </w:tc>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吴军</w:t>
            </w:r>
          </w:p>
        </w:tc>
        <w:tc>
          <w:tcPr>
            <w:tcW w:w="3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研究员</w:t>
            </w:r>
          </w:p>
        </w:tc>
        <w:tc>
          <w:tcPr>
            <w:tcW w:w="133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1.</w:t>
            </w:r>
            <w:r>
              <w:rPr>
                <w:rFonts w:hint="eastAsia" w:ascii="仿宋" w:hAnsi="仿宋" w:eastAsia="仿宋" w:cs="仿宋"/>
                <w:color w:val="000000"/>
                <w:sz w:val="21"/>
                <w:szCs w:val="21"/>
              </w:rPr>
              <w:t>开展浙南地区水生生物多样性（鱼类、大型底栖动物、浮游生物等）的调查</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rPr>
              <w:t>研发水生生物多样性智慧监测和评估技术体系</w:t>
            </w:r>
          </w:p>
        </w:tc>
        <w:tc>
          <w:tcPr>
            <w:tcW w:w="13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1.</w:t>
            </w:r>
            <w:r>
              <w:rPr>
                <w:rFonts w:hint="eastAsia" w:ascii="仿宋" w:hAnsi="仿宋" w:eastAsia="仿宋" w:cs="仿宋"/>
                <w:color w:val="000000"/>
                <w:sz w:val="21"/>
                <w:szCs w:val="21"/>
              </w:rPr>
              <w:t>动物学、生态学、水生生物学等方向</w:t>
            </w:r>
            <w:r>
              <w:rPr>
                <w:rFonts w:hint="eastAsia" w:ascii="仿宋" w:hAnsi="仿宋" w:eastAsia="仿宋" w:cs="仿宋"/>
                <w:color w:val="000000"/>
                <w:sz w:val="21"/>
                <w:szCs w:val="21"/>
                <w:lang w:eastAsia="zh-CN"/>
              </w:rPr>
              <w:t>；</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lang w:eastAsia="zh-CN"/>
              </w:rPr>
              <w:t>具备水生生物多样性调查监测技术或水生态评估的经验；</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3.以一作发表SCI论文1-2篇。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8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555" w:type="pct"/>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生态文明建设研究</w:t>
            </w:r>
          </w:p>
        </w:tc>
        <w:tc>
          <w:tcPr>
            <w:tcW w:w="8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韧性城市生态风险与服务调控机制研究</w:t>
            </w:r>
          </w:p>
        </w:tc>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张龙江</w:t>
            </w:r>
          </w:p>
        </w:tc>
        <w:tc>
          <w:tcPr>
            <w:tcW w:w="3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研究员</w:t>
            </w:r>
          </w:p>
        </w:tc>
        <w:tc>
          <w:tcPr>
            <w:tcW w:w="133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1.探究城市蓝绿空间冷却服务优化路径、水生态韧性服务提升技术以及城市群生态风险传递与服务提升机制。</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2.从驱动机制、致灾机理、安全阈值等韧性城市生态建设关键科学问题出发，剖析城市生态风险的产生与迁移等过程，提出城市韧性调控和生态服务提升关键技术。</w:t>
            </w:r>
          </w:p>
        </w:tc>
        <w:tc>
          <w:tcPr>
            <w:tcW w:w="13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发表SCI论文1篇以上，申请发明专利1项以上。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8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555"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sz w:val="21"/>
                <w:szCs w:val="21"/>
              </w:rPr>
            </w:pPr>
          </w:p>
        </w:tc>
        <w:tc>
          <w:tcPr>
            <w:tcW w:w="8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协同治理视角下矿区生态修复目标与监管标准研究</w:t>
            </w:r>
          </w:p>
        </w:tc>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李海东</w:t>
            </w:r>
          </w:p>
        </w:tc>
        <w:tc>
          <w:tcPr>
            <w:tcW w:w="3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研究员</w:t>
            </w:r>
          </w:p>
        </w:tc>
        <w:tc>
          <w:tcPr>
            <w:tcW w:w="133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1.从城市景观结构、生态环境质量视角，开展城市生态环境问题分类、生态修复目标制定与生态修复监管标准研究。</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结合资源型城市不同开采方式、矿种类型的生态环境损害特点，剖析资源型城市生态修复与污染治理的协同性及关键影响因素，结合区域可持续发展的原则，提出城市生态修复目标实现的产业引导和功能提升路径。</w:t>
            </w:r>
          </w:p>
        </w:tc>
        <w:tc>
          <w:tcPr>
            <w:tcW w:w="13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发表SCI论文1篇以上，申请发明专利1项以上。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8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555" w:type="pct"/>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化学品污染防治及生态效应研究</w:t>
            </w:r>
          </w:p>
        </w:tc>
        <w:tc>
          <w:tcPr>
            <w:tcW w:w="8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医疗飞灰微波热催化快速脱氯降解与协同阻滞二噁英再生成的基本原理</w:t>
            </w:r>
          </w:p>
        </w:tc>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鞠勇明</w:t>
            </w:r>
          </w:p>
        </w:tc>
        <w:tc>
          <w:tcPr>
            <w:tcW w:w="3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研究员</w:t>
            </w:r>
          </w:p>
        </w:tc>
        <w:tc>
          <w:tcPr>
            <w:tcW w:w="133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1.以医疗飞灰为研究对象，利用磁质谱和飞行时间质谱等筛选飞灰残留的卤代有机物等特征污染物，研究微波热催化环境下添加双（三）金属催化剂实现二恶英等卤代有机物高效脱氯降解的主要影响因素；</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2.重点研究在微波中低温热解过程中阻滞二恶英再生成的途径，探索阻滞飞灰二恶英再生成的机理，阐明二恶英和其他卤代有机物降解转化的基本规律，为医疗飞灰脱毒减害与资源化控制提供技术支撑。</w:t>
            </w:r>
          </w:p>
        </w:tc>
        <w:tc>
          <w:tcPr>
            <w:tcW w:w="13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发表高质量的SCI论文2-4篇，申请专利2-3项。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8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555"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sz w:val="21"/>
                <w:szCs w:val="21"/>
              </w:rPr>
            </w:pPr>
          </w:p>
        </w:tc>
        <w:tc>
          <w:tcPr>
            <w:tcW w:w="8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典型塑料添加剂危害性筛查及预测关键技术</w:t>
            </w:r>
          </w:p>
        </w:tc>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吉贵祥</w:t>
            </w:r>
          </w:p>
        </w:tc>
        <w:tc>
          <w:tcPr>
            <w:tcW w:w="3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研究员</w:t>
            </w:r>
          </w:p>
        </w:tc>
        <w:tc>
          <w:tcPr>
            <w:tcW w:w="133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针对环境新污染物毒性效应不清、机制不明等科学问题，利用多组学研究手段（转录组学、代谢组学、肠道微生物组学）阐明双酚A类替代品、新型全氟/多氟烷基化合物等新污染物的毒性作用通路和分子作用机制，突破基于“多组学”的化学品/新污染物毒性解析关键技术。</w:t>
            </w:r>
          </w:p>
        </w:tc>
        <w:tc>
          <w:tcPr>
            <w:tcW w:w="13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发表高水平SCI论文3-5篇，申请专利1-2项</w:t>
            </w:r>
            <w:bookmarkStart w:id="0" w:name="_GoBack"/>
            <w:bookmarkEnd w:id="0"/>
            <w:r>
              <w:rPr>
                <w:rFonts w:hint="eastAsia" w:ascii="仿宋" w:hAnsi="仿宋" w:eastAsia="仿宋" w:cs="仿宋"/>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8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11</w:t>
            </w:r>
          </w:p>
        </w:tc>
        <w:tc>
          <w:tcPr>
            <w:tcW w:w="555"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sz w:val="21"/>
                <w:szCs w:val="21"/>
              </w:rPr>
            </w:pPr>
          </w:p>
        </w:tc>
        <w:tc>
          <w:tcPr>
            <w:tcW w:w="8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农田新污染物监测预警技术研发</w:t>
            </w:r>
          </w:p>
        </w:tc>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孔德洋</w:t>
            </w:r>
          </w:p>
        </w:tc>
        <w:tc>
          <w:tcPr>
            <w:tcW w:w="3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研究员</w:t>
            </w:r>
          </w:p>
        </w:tc>
        <w:tc>
          <w:tcPr>
            <w:tcW w:w="133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1.研究农田环境介质中典型新污染物的筛查、监测技术，实现对农药、微塑料等新污染物的快速、准确、智能的筛查与监测溯源；</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2.通过对典型新污染物在农田系统多环境介质及农作物中的迁移转化规律研究，建立农田新污染物的风险模拟与预警模型。</w:t>
            </w:r>
          </w:p>
        </w:tc>
        <w:tc>
          <w:tcPr>
            <w:tcW w:w="13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发表SCI论文1-2篇以上，申请发明专利1项以上。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8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555"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sz w:val="21"/>
                <w:szCs w:val="21"/>
              </w:rPr>
            </w:pPr>
          </w:p>
        </w:tc>
        <w:tc>
          <w:tcPr>
            <w:tcW w:w="8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抗生素及耐药基因环境风险评估与防控关键技术研究</w:t>
            </w:r>
          </w:p>
        </w:tc>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王娜</w:t>
            </w:r>
          </w:p>
        </w:tc>
        <w:tc>
          <w:tcPr>
            <w:tcW w:w="3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研究员</w:t>
            </w:r>
          </w:p>
        </w:tc>
        <w:tc>
          <w:tcPr>
            <w:tcW w:w="133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1、研究流域复杂水环境中抗生素污染暴露对微生物耐药传播扩散的影响机制，建立环境风险评估技术；在典型流域形成全链条管控的流域新污染物抗生素环境风险管理应用体系。 2、开展畜禽粪便资源化利用过程中抗生素、耐药基因、重金属复合污染消减与阻控机制研究，探索有机肥中典型重金属/抗生素诱导耐药基因的安全浓度限值。</w:t>
            </w:r>
          </w:p>
        </w:tc>
        <w:tc>
          <w:tcPr>
            <w:tcW w:w="13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以第一作者发表高水平SCI论文2-3篇，申请专利1-2项。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8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w:t>
            </w:r>
          </w:p>
        </w:tc>
        <w:tc>
          <w:tcPr>
            <w:tcW w:w="555" w:type="pct"/>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固体废物污染防治研究</w:t>
            </w:r>
          </w:p>
        </w:tc>
        <w:tc>
          <w:tcPr>
            <w:tcW w:w="8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华东区域典型危险废物环境管理与风险防控技术研究</w:t>
            </w:r>
          </w:p>
        </w:tc>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张后虎</w:t>
            </w:r>
          </w:p>
        </w:tc>
        <w:tc>
          <w:tcPr>
            <w:tcW w:w="3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研究员</w:t>
            </w:r>
          </w:p>
        </w:tc>
        <w:tc>
          <w:tcPr>
            <w:tcW w:w="133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1.围绕华东区域典型危险废物和重点行业，开展危险废物环境管理与风险防控政策研究；</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2.探索“点对点”定向利用、生态保护补偿机制、环境污染责任险等制度创新。</w:t>
            </w:r>
          </w:p>
        </w:tc>
        <w:tc>
          <w:tcPr>
            <w:tcW w:w="13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1.环境规划、环境管理、资源环境与循环经济等相关研究方向；</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2.具较强的英语读、写、听、说能力；丰富的科研和实践经历；良好的团队协作精神；</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3.第一作者发表相关研究SCI论文2篇以上。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8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555"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sz w:val="21"/>
                <w:szCs w:val="21"/>
              </w:rPr>
            </w:pPr>
          </w:p>
        </w:tc>
        <w:tc>
          <w:tcPr>
            <w:tcW w:w="8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典型固体废弃物中新污染物赋存特征与全过程控制技术研究</w:t>
            </w:r>
          </w:p>
        </w:tc>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张圣虎</w:t>
            </w:r>
          </w:p>
        </w:tc>
        <w:tc>
          <w:tcPr>
            <w:tcW w:w="3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研究员</w:t>
            </w:r>
          </w:p>
        </w:tc>
        <w:tc>
          <w:tcPr>
            <w:tcW w:w="133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1.开展典型固体废物暴露场景（如生活垃圾填埋场）中新污染物释放运移代谢机制基础研究；</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2.探究利用处置过程中新污染物的消减机制及控制技术研究。</w:t>
            </w:r>
          </w:p>
        </w:tc>
        <w:tc>
          <w:tcPr>
            <w:tcW w:w="13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1.环境工程、环境科学、环境微生物等相关研究方向；</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2.具较强的英语读、写、听、说能力；丰富的科研和实践经历；良好的团队协作精神</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3.第一作者发表相关研究SCI论文2篇以上。</w:t>
            </w:r>
          </w:p>
        </w:tc>
      </w:tr>
    </w:tbl>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p>
    <w:sectPr>
      <w:footerReference r:id="rId3" w:type="default"/>
      <w:pgSz w:w="16838" w:h="11906" w:orient="landscape"/>
      <w:pgMar w:top="1797" w:right="1440" w:bottom="1797" w:left="1440"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embedRegular r:id="rId1" w:fontKey="{6613AE28-074A-41C8-84DE-D92983338758}"/>
  </w:font>
  <w:font w:name="仿宋">
    <w:panose1 w:val="02010609060101010101"/>
    <w:charset w:val="86"/>
    <w:family w:val="modern"/>
    <w:pitch w:val="default"/>
    <w:sig w:usb0="800002BF" w:usb1="38CF7CFA" w:usb2="00000016" w:usb3="00000000" w:csb0="00040001" w:csb1="00000000"/>
    <w:embedRegular r:id="rId2" w:fontKey="{675D7775-A7D4-4D04-8377-08FE136F68A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lYjEyMjBjNGE5NDVmMTFjZmU1MWY3NTRjMTk2MTcifQ=="/>
  </w:docVars>
  <w:rsids>
    <w:rsidRoot w:val="00E73289"/>
    <w:rsid w:val="00001554"/>
    <w:rsid w:val="00007ACA"/>
    <w:rsid w:val="00010E7C"/>
    <w:rsid w:val="00015896"/>
    <w:rsid w:val="000248B3"/>
    <w:rsid w:val="0003019F"/>
    <w:rsid w:val="00036AA4"/>
    <w:rsid w:val="00171631"/>
    <w:rsid w:val="00184D80"/>
    <w:rsid w:val="001A1719"/>
    <w:rsid w:val="001D7DAB"/>
    <w:rsid w:val="002040B0"/>
    <w:rsid w:val="0021281F"/>
    <w:rsid w:val="002453E1"/>
    <w:rsid w:val="0026624E"/>
    <w:rsid w:val="00274F05"/>
    <w:rsid w:val="002B0B7A"/>
    <w:rsid w:val="005648DD"/>
    <w:rsid w:val="00596869"/>
    <w:rsid w:val="005B722A"/>
    <w:rsid w:val="00664851"/>
    <w:rsid w:val="006C5C0E"/>
    <w:rsid w:val="0074530C"/>
    <w:rsid w:val="008275D0"/>
    <w:rsid w:val="00936DCD"/>
    <w:rsid w:val="00943A47"/>
    <w:rsid w:val="0097118D"/>
    <w:rsid w:val="0098059E"/>
    <w:rsid w:val="00993B15"/>
    <w:rsid w:val="00A82ACE"/>
    <w:rsid w:val="00B66C29"/>
    <w:rsid w:val="00BC366D"/>
    <w:rsid w:val="00BC371C"/>
    <w:rsid w:val="00C412A0"/>
    <w:rsid w:val="00CC42C5"/>
    <w:rsid w:val="00D957ED"/>
    <w:rsid w:val="00E73289"/>
    <w:rsid w:val="00E75544"/>
    <w:rsid w:val="00E769DA"/>
    <w:rsid w:val="00ED5A58"/>
    <w:rsid w:val="00EF2901"/>
    <w:rsid w:val="00F22C27"/>
    <w:rsid w:val="00FC7BF8"/>
    <w:rsid w:val="00FD55A6"/>
    <w:rsid w:val="020D0559"/>
    <w:rsid w:val="022F73C3"/>
    <w:rsid w:val="073C486C"/>
    <w:rsid w:val="0EB50E60"/>
    <w:rsid w:val="16D62E28"/>
    <w:rsid w:val="20721494"/>
    <w:rsid w:val="24F41EBE"/>
    <w:rsid w:val="25A94B3C"/>
    <w:rsid w:val="2E3C3AD3"/>
    <w:rsid w:val="2FB768E8"/>
    <w:rsid w:val="323463D0"/>
    <w:rsid w:val="34010595"/>
    <w:rsid w:val="36343CB6"/>
    <w:rsid w:val="42530A2D"/>
    <w:rsid w:val="467A38D3"/>
    <w:rsid w:val="4828061F"/>
    <w:rsid w:val="4FB72C94"/>
    <w:rsid w:val="4FBE7D1A"/>
    <w:rsid w:val="512F60FF"/>
    <w:rsid w:val="5C891B7C"/>
    <w:rsid w:val="5DD62B9F"/>
    <w:rsid w:val="6EEC7A1D"/>
    <w:rsid w:val="738E78C5"/>
    <w:rsid w:val="74700D96"/>
    <w:rsid w:val="79361B92"/>
    <w:rsid w:val="7A3A38B9"/>
    <w:rsid w:val="7B7F2006"/>
    <w:rsid w:val="7C1B4A2A"/>
    <w:rsid w:val="7D3B3B9E"/>
    <w:rsid w:val="7E9A0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4469</Words>
  <Characters>4694</Characters>
  <Lines>16</Lines>
  <Paragraphs>4</Paragraphs>
  <TotalTime>60</TotalTime>
  <ScaleCrop>false</ScaleCrop>
  <LinksUpToDate>false</LinksUpToDate>
  <CharactersWithSpaces>4704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2023-07-16T06:29:00Z</dcterms:created>
  <dc:creator>johnson</dc:creator>
  <cp:lastModifiedBy>nieswd.Z</cp:lastModifiedBy>
  <dcterms:modified xsi:type="dcterms:W3CDTF">2023-11-14T04:20:25Z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1C5117EC22A941858CF3FA89C6E8FDF6_12</vt:lpwstr>
  </property>
</Properties>
</file>