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4A82">
      <w:pPr>
        <w:pStyle w:val="25"/>
        <w:rPr>
          <w:rFonts w:cs="Times New Roman"/>
        </w:rPr>
      </w:pPr>
      <w:bookmarkStart w:id="0" w:name="_GoBack"/>
      <w:bookmarkEnd w:id="0"/>
      <w:r>
        <w:rPr>
          <w:rFonts w:cs="Times New Roman"/>
        </w:rPr>
        <w:t>附件</w:t>
      </w:r>
      <w:r>
        <w:rPr>
          <w:rFonts w:hint="eastAsia" w:cs="Times New Roman"/>
          <w:lang w:val="en-US" w:eastAsia="zh-CN"/>
        </w:rPr>
        <w:t>二</w:t>
      </w:r>
      <w:r>
        <w:rPr>
          <w:rFonts w:cs="Times New Roman"/>
        </w:rPr>
        <w:t xml:space="preserve"> </w:t>
      </w:r>
      <w:r>
        <w:rPr>
          <w:rFonts w:hint="eastAsia" w:cs="Times New Roman"/>
          <w:lang w:val="en-US" w:eastAsia="zh-CN"/>
        </w:rPr>
        <w:t>评分表</w:t>
      </w:r>
    </w:p>
    <w:tbl>
      <w:tblPr>
        <w:tblStyle w:val="14"/>
        <w:tblW w:w="52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819"/>
        <w:gridCol w:w="1339"/>
        <w:gridCol w:w="11944"/>
      </w:tblGrid>
      <w:tr w14:paraId="02CE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blHeader/>
          <w:jc w:val="center"/>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888D23">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rPr>
              <w:t>序号</w:t>
            </w:r>
          </w:p>
        </w:tc>
        <w:tc>
          <w:tcPr>
            <w:tcW w:w="73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85D45A4">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rPr>
              <w:t>评审指标及分值</w:t>
            </w:r>
          </w:p>
        </w:tc>
        <w:tc>
          <w:tcPr>
            <w:tcW w:w="40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CD7295">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rPr>
              <w:t>评分标准</w:t>
            </w:r>
          </w:p>
        </w:tc>
      </w:tr>
      <w:tr w14:paraId="6C23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1CF07EA9">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w:t>
            </w:r>
          </w:p>
        </w:tc>
        <w:tc>
          <w:tcPr>
            <w:tcW w:w="277" w:type="pct"/>
            <w:vMerge w:val="restart"/>
            <w:tcBorders>
              <w:top w:val="nil"/>
              <w:left w:val="single" w:color="000000" w:sz="8" w:space="0"/>
              <w:bottom w:val="single" w:color="000000" w:sz="8" w:space="0"/>
              <w:right w:val="single" w:color="000000" w:sz="8" w:space="0"/>
            </w:tcBorders>
            <w:shd w:val="clear" w:color="auto" w:fill="auto"/>
            <w:vAlign w:val="center"/>
          </w:tcPr>
          <w:p w14:paraId="3EA3239E">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报价部分（</w:t>
            </w:r>
            <w:r>
              <w:rPr>
                <w:rStyle w:val="26"/>
                <w:rFonts w:eastAsia="宋体"/>
                <w:lang w:val="en-US" w:eastAsia="zh-CN"/>
              </w:rPr>
              <w:t>10</w:t>
            </w:r>
            <w:r>
              <w:rPr>
                <w:rStyle w:val="27"/>
                <w:lang w:val="en-US" w:eastAsia="zh-CN"/>
              </w:rPr>
              <w:t>分）</w:t>
            </w:r>
          </w:p>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0C9F003D">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价格分</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1BF33C5F">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招标人在评标办法中确定价格分值占总分值的比重（权重）为</w:t>
            </w:r>
            <w:r>
              <w:rPr>
                <w:rStyle w:val="26"/>
                <w:rFonts w:eastAsia="宋体"/>
                <w:lang w:val="en-US" w:eastAsia="zh-CN"/>
              </w:rPr>
              <w:t>10%</w:t>
            </w:r>
            <w:r>
              <w:rPr>
                <w:rStyle w:val="27"/>
                <w:lang w:val="en-US" w:eastAsia="zh-CN"/>
              </w:rPr>
              <w:t>（即价格权值为</w:t>
            </w:r>
            <w:r>
              <w:rPr>
                <w:rStyle w:val="26"/>
                <w:rFonts w:eastAsia="宋体"/>
                <w:lang w:val="en-US" w:eastAsia="zh-CN"/>
              </w:rPr>
              <w:t>10%</w:t>
            </w:r>
            <w:r>
              <w:rPr>
                <w:rStyle w:val="27"/>
                <w:lang w:val="en-US" w:eastAsia="zh-CN"/>
              </w:rPr>
              <w:t>）。</w:t>
            </w:r>
          </w:p>
        </w:tc>
      </w:tr>
      <w:tr w14:paraId="1E71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F22506D"/>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06499CA1"/>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7C3D7B0E"/>
        </w:tc>
        <w:tc>
          <w:tcPr>
            <w:tcW w:w="4041" w:type="pct"/>
            <w:tcBorders>
              <w:top w:val="nil"/>
              <w:left w:val="single" w:color="000000" w:sz="8" w:space="0"/>
              <w:bottom w:val="single" w:color="000000" w:sz="8" w:space="0"/>
              <w:right w:val="single" w:color="000000" w:sz="8" w:space="0"/>
            </w:tcBorders>
            <w:shd w:val="clear" w:color="auto" w:fill="auto"/>
            <w:vAlign w:val="center"/>
          </w:tcPr>
          <w:p w14:paraId="62DB5FF1">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本招标项目按照低价优先法计算报价得分，即满足招标文件要求且投标价格最低的投标报价为评标基准价，其价格分为满分。其他投标人的价格分统一按照下列公式计算：投标报价得分</w:t>
            </w:r>
            <w:r>
              <w:rPr>
                <w:rStyle w:val="26"/>
                <w:rFonts w:eastAsia="宋体"/>
                <w:lang w:val="en-US" w:eastAsia="zh-CN"/>
              </w:rPr>
              <w:t>=</w:t>
            </w:r>
            <w:r>
              <w:rPr>
                <w:rStyle w:val="27"/>
                <w:lang w:val="en-US" w:eastAsia="zh-CN"/>
              </w:rPr>
              <w:t>（评标基准价／投标报价）×价格权值×</w:t>
            </w:r>
            <w:r>
              <w:rPr>
                <w:rStyle w:val="26"/>
                <w:rFonts w:eastAsia="宋体"/>
                <w:lang w:val="en-US" w:eastAsia="zh-CN"/>
              </w:rPr>
              <w:t>100</w:t>
            </w:r>
            <w:r>
              <w:rPr>
                <w:rStyle w:val="27"/>
                <w:lang w:val="en-US" w:eastAsia="zh-CN"/>
              </w:rPr>
              <w:t>投标人投标报价得分按“四舍五入”精确到小数点后两位。投标报价最高限价与评标基准价之间为投标报价有效范围。在上述确定评标基准价、计算投标报价得分、确定投标报价有效范围过程中，对投标人属于小型和微型企业且符合本招标文件约定的价格扣除条件的投标报价，以扣除</w:t>
            </w:r>
            <w:r>
              <w:rPr>
                <w:rStyle w:val="26"/>
                <w:rFonts w:eastAsia="宋体"/>
                <w:lang w:val="en-US" w:eastAsia="zh-CN"/>
              </w:rPr>
              <w:t>10%</w:t>
            </w:r>
            <w:r>
              <w:rPr>
                <w:rStyle w:val="27"/>
                <w:lang w:val="en-US" w:eastAsia="zh-CN"/>
              </w:rPr>
              <w:t>后的价格作为该投标人的投标报价进行计算和比较。若投标人报价高于预算金额的，即为无效报价。《中小企业声明函》、监狱企业的证明文件、《残疾人福利性单位声明函》等须按招标文件要求编入投标文件中并加盖投标人电子签章，否则不予认可。</w:t>
            </w:r>
          </w:p>
        </w:tc>
      </w:tr>
      <w:tr w14:paraId="3E76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646C897A">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2</w:t>
            </w:r>
          </w:p>
        </w:tc>
        <w:tc>
          <w:tcPr>
            <w:tcW w:w="277" w:type="pct"/>
            <w:vMerge w:val="restart"/>
            <w:tcBorders>
              <w:top w:val="nil"/>
              <w:left w:val="single" w:color="000000" w:sz="8" w:space="0"/>
              <w:bottom w:val="single" w:color="000000" w:sz="8" w:space="0"/>
              <w:right w:val="single" w:color="000000" w:sz="8" w:space="0"/>
            </w:tcBorders>
            <w:shd w:val="clear" w:color="auto" w:fill="auto"/>
            <w:vAlign w:val="center"/>
          </w:tcPr>
          <w:p w14:paraId="46057985">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商务部分（</w:t>
            </w:r>
            <w:r>
              <w:rPr>
                <w:rStyle w:val="26"/>
                <w:rFonts w:eastAsia="宋体"/>
                <w:lang w:val="en-US" w:eastAsia="zh-CN"/>
              </w:rPr>
              <w:t>45</w:t>
            </w:r>
            <w:r>
              <w:rPr>
                <w:rStyle w:val="27"/>
                <w:lang w:val="en-US" w:eastAsia="zh-CN"/>
              </w:rPr>
              <w:t>分）</w:t>
            </w:r>
          </w:p>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1DC7598A">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业绩（</w:t>
            </w:r>
            <w:r>
              <w:rPr>
                <w:rStyle w:val="26"/>
                <w:rFonts w:eastAsia="宋体"/>
                <w:lang w:val="en-US" w:eastAsia="zh-CN"/>
              </w:rPr>
              <w:t>16</w:t>
            </w:r>
            <w:r>
              <w:rPr>
                <w:rStyle w:val="27"/>
                <w:lang w:val="en-US" w:eastAsia="zh-CN"/>
              </w:rPr>
              <w:t>分）</w:t>
            </w:r>
          </w:p>
        </w:tc>
        <w:tc>
          <w:tcPr>
            <w:tcW w:w="4041" w:type="pct"/>
            <w:tcBorders>
              <w:top w:val="nil"/>
              <w:left w:val="single" w:color="000000" w:sz="8" w:space="0"/>
              <w:bottom w:val="nil"/>
              <w:right w:val="single" w:color="000000" w:sz="8" w:space="0"/>
            </w:tcBorders>
            <w:shd w:val="clear" w:color="auto" w:fill="auto"/>
            <w:vAlign w:val="center"/>
          </w:tcPr>
          <w:p w14:paraId="749B6FEA">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w:t>
            </w:r>
            <w:r>
              <w:rPr>
                <w:rStyle w:val="26"/>
                <w:rFonts w:eastAsia="宋体"/>
                <w:lang w:val="en-US" w:eastAsia="zh-CN"/>
              </w:rPr>
              <w:t>2020</w:t>
            </w:r>
            <w:r>
              <w:rPr>
                <w:rStyle w:val="27"/>
                <w:lang w:val="en-US" w:eastAsia="zh-CN"/>
              </w:rPr>
              <w:t>年</w:t>
            </w:r>
            <w:r>
              <w:rPr>
                <w:rStyle w:val="26"/>
                <w:rFonts w:eastAsia="宋体"/>
                <w:lang w:val="en-US" w:eastAsia="zh-CN"/>
              </w:rPr>
              <w:t>6</w:t>
            </w:r>
            <w:r>
              <w:rPr>
                <w:rStyle w:val="27"/>
                <w:lang w:val="en-US" w:eastAsia="zh-CN"/>
              </w:rPr>
              <w:t>月</w:t>
            </w:r>
            <w:r>
              <w:rPr>
                <w:rStyle w:val="26"/>
                <w:rFonts w:eastAsia="宋体"/>
                <w:lang w:val="en-US" w:eastAsia="zh-CN"/>
              </w:rPr>
              <w:t>1</w:t>
            </w:r>
            <w:r>
              <w:rPr>
                <w:rStyle w:val="27"/>
                <w:lang w:val="en-US" w:eastAsia="zh-CN"/>
              </w:rPr>
              <w:t>日至今投标人承担过“</w:t>
            </w:r>
            <w:r>
              <w:rPr>
                <w:rStyle w:val="26"/>
                <w:rFonts w:eastAsia="宋体"/>
                <w:lang w:val="en-US" w:eastAsia="zh-CN"/>
              </w:rPr>
              <w:t>6+1</w:t>
            </w:r>
            <w:r>
              <w:rPr>
                <w:rStyle w:val="27"/>
                <w:lang w:val="en-US" w:eastAsia="zh-CN"/>
              </w:rPr>
              <w:t>”建设用地地块土壤污染状况调查类项目业绩，每提供一个得</w:t>
            </w:r>
            <w:r>
              <w:rPr>
                <w:rStyle w:val="26"/>
                <w:rFonts w:eastAsia="宋体"/>
                <w:lang w:val="en-US" w:eastAsia="zh-CN"/>
              </w:rPr>
              <w:t>2</w:t>
            </w:r>
            <w:r>
              <w:rPr>
                <w:rStyle w:val="27"/>
                <w:lang w:val="en-US" w:eastAsia="zh-CN"/>
              </w:rPr>
              <w:t>分，最多得</w:t>
            </w:r>
            <w:r>
              <w:rPr>
                <w:rStyle w:val="26"/>
                <w:rFonts w:eastAsia="宋体"/>
                <w:lang w:val="en-US" w:eastAsia="zh-CN"/>
              </w:rPr>
              <w:t>6</w:t>
            </w:r>
            <w:r>
              <w:rPr>
                <w:rStyle w:val="27"/>
                <w:lang w:val="en-US" w:eastAsia="zh-CN"/>
              </w:rPr>
              <w:t>分。</w:t>
            </w:r>
          </w:p>
        </w:tc>
      </w:tr>
      <w:tr w14:paraId="0A04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A7BA99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AACA4CA"/>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4C2B6462"/>
        </w:tc>
        <w:tc>
          <w:tcPr>
            <w:tcW w:w="4041" w:type="pct"/>
            <w:tcBorders>
              <w:top w:val="nil"/>
              <w:left w:val="single" w:color="000000" w:sz="8" w:space="0"/>
              <w:bottom w:val="nil"/>
              <w:right w:val="single" w:color="000000" w:sz="8" w:space="0"/>
            </w:tcBorders>
            <w:shd w:val="clear" w:color="auto" w:fill="auto"/>
            <w:vAlign w:val="center"/>
          </w:tcPr>
          <w:p w14:paraId="33632D5C">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②供应商自</w:t>
            </w:r>
            <w:r>
              <w:rPr>
                <w:rStyle w:val="26"/>
                <w:rFonts w:eastAsia="宋体"/>
                <w:lang w:val="en-US" w:eastAsia="zh-CN"/>
              </w:rPr>
              <w:t>2020</w:t>
            </w:r>
            <w:r>
              <w:rPr>
                <w:rStyle w:val="27"/>
                <w:lang w:val="en-US" w:eastAsia="zh-CN"/>
              </w:rPr>
              <w:t>年</w:t>
            </w:r>
            <w:r>
              <w:rPr>
                <w:rStyle w:val="26"/>
                <w:rFonts w:eastAsia="宋体"/>
                <w:lang w:val="en-US" w:eastAsia="zh-CN"/>
              </w:rPr>
              <w:t>6</w:t>
            </w:r>
            <w:r>
              <w:rPr>
                <w:rStyle w:val="27"/>
                <w:lang w:val="en-US" w:eastAsia="zh-CN"/>
              </w:rPr>
              <w:t>月</w:t>
            </w:r>
            <w:r>
              <w:rPr>
                <w:rStyle w:val="26"/>
                <w:rFonts w:eastAsia="宋体"/>
                <w:lang w:val="en-US" w:eastAsia="zh-CN"/>
              </w:rPr>
              <w:t>1</w:t>
            </w:r>
            <w:r>
              <w:rPr>
                <w:rStyle w:val="27"/>
                <w:lang w:val="en-US" w:eastAsia="zh-CN"/>
              </w:rPr>
              <w:t>日以来承担过设区的市级及以上政府采购的土壤（地下水）监测项目的，每提供一个得</w:t>
            </w:r>
            <w:r>
              <w:rPr>
                <w:rStyle w:val="26"/>
                <w:rFonts w:eastAsia="宋体"/>
                <w:lang w:val="en-US" w:eastAsia="zh-CN"/>
              </w:rPr>
              <w:t>2</w:t>
            </w:r>
            <w:r>
              <w:rPr>
                <w:rStyle w:val="27"/>
                <w:lang w:val="en-US" w:eastAsia="zh-CN"/>
              </w:rPr>
              <w:t>分，最多得</w:t>
            </w:r>
            <w:r>
              <w:rPr>
                <w:rStyle w:val="26"/>
                <w:rFonts w:eastAsia="宋体"/>
                <w:lang w:val="en-US" w:eastAsia="zh-CN"/>
              </w:rPr>
              <w:t>10</w:t>
            </w:r>
            <w:r>
              <w:rPr>
                <w:rStyle w:val="27"/>
                <w:lang w:val="en-US" w:eastAsia="zh-CN"/>
              </w:rPr>
              <w:t>分。</w:t>
            </w:r>
          </w:p>
        </w:tc>
      </w:tr>
      <w:tr w14:paraId="2649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35726644"/>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F432411"/>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731B341A"/>
        </w:tc>
        <w:tc>
          <w:tcPr>
            <w:tcW w:w="4041" w:type="pct"/>
            <w:tcBorders>
              <w:top w:val="nil"/>
              <w:left w:val="single" w:color="000000" w:sz="8" w:space="0"/>
              <w:bottom w:val="single" w:color="000000" w:sz="8" w:space="0"/>
              <w:right w:val="single" w:color="000000" w:sz="8" w:space="0"/>
            </w:tcBorders>
            <w:shd w:val="clear" w:color="auto" w:fill="auto"/>
            <w:vAlign w:val="center"/>
          </w:tcPr>
          <w:p w14:paraId="52635F33">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注：提供项目业绩相关的合同，时间以合同签订时间为准。土壤污染状况调查类项目同时提供项目完成评审上传全国建设用地土壤环境管理信息系统截图，截图需要明确显示原地块的用地类型或行业类别；政府采购业绩的须同时提供采购公告、中标公告（或中标通知书）等网站截图（附查询网址）以及政府采购合同原件扫描件。提供资料不全或不符合招标文件要求的，不予计分</w:t>
            </w:r>
          </w:p>
        </w:tc>
      </w:tr>
      <w:tr w14:paraId="2EA2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68B3D74C">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3</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77C24E65"/>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7B791C26">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人员配备</w:t>
            </w:r>
            <w:r>
              <w:rPr>
                <w:rStyle w:val="26"/>
                <w:rFonts w:eastAsia="宋体"/>
                <w:lang w:val="en-US" w:eastAsia="zh-CN"/>
              </w:rPr>
              <w:t>(12</w:t>
            </w:r>
            <w:r>
              <w:rPr>
                <w:rStyle w:val="27"/>
                <w:lang w:val="en-US" w:eastAsia="zh-CN"/>
              </w:rPr>
              <w:t>分</w:t>
            </w:r>
            <w:r>
              <w:rPr>
                <w:rStyle w:val="26"/>
                <w:rFonts w:eastAsia="宋体"/>
                <w:lang w:val="en-US" w:eastAsia="zh-CN"/>
              </w:rPr>
              <w:t>)</w:t>
            </w:r>
          </w:p>
        </w:tc>
        <w:tc>
          <w:tcPr>
            <w:tcW w:w="4041" w:type="pct"/>
            <w:tcBorders>
              <w:top w:val="nil"/>
              <w:left w:val="single" w:color="000000" w:sz="8" w:space="0"/>
              <w:bottom w:val="nil"/>
              <w:right w:val="single" w:color="000000" w:sz="8" w:space="0"/>
            </w:tcBorders>
            <w:shd w:val="clear" w:color="auto" w:fill="auto"/>
            <w:vAlign w:val="center"/>
          </w:tcPr>
          <w:p w14:paraId="07FE318F">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①投标人拟为本项目配置的项目团队成员，每提供</w:t>
            </w:r>
            <w:r>
              <w:rPr>
                <w:rStyle w:val="26"/>
                <w:rFonts w:eastAsia="宋体"/>
                <w:lang w:val="en-US" w:eastAsia="zh-CN"/>
              </w:rPr>
              <w:t>1</w:t>
            </w:r>
            <w:r>
              <w:rPr>
                <w:rStyle w:val="27"/>
                <w:lang w:val="en-US" w:eastAsia="zh-CN"/>
              </w:rPr>
              <w:t>名高级及以上职称人员得</w:t>
            </w:r>
            <w:r>
              <w:rPr>
                <w:rStyle w:val="26"/>
                <w:rFonts w:eastAsia="宋体"/>
                <w:lang w:val="en-US" w:eastAsia="zh-CN"/>
              </w:rPr>
              <w:t>1</w:t>
            </w:r>
            <w:r>
              <w:rPr>
                <w:rStyle w:val="27"/>
                <w:lang w:val="en-US" w:eastAsia="zh-CN"/>
              </w:rPr>
              <w:t>分，本项最高得</w:t>
            </w:r>
            <w:r>
              <w:rPr>
                <w:rStyle w:val="26"/>
                <w:rFonts w:eastAsia="宋体"/>
                <w:lang w:val="en-US" w:eastAsia="zh-CN"/>
              </w:rPr>
              <w:t>6</w:t>
            </w:r>
            <w:r>
              <w:rPr>
                <w:rStyle w:val="27"/>
                <w:lang w:val="en-US" w:eastAsia="zh-CN"/>
              </w:rPr>
              <w:t>分。</w:t>
            </w:r>
          </w:p>
        </w:tc>
      </w:tr>
      <w:tr w14:paraId="35C9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AFD7C92"/>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08098CB"/>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7EC8A7F"/>
        </w:tc>
        <w:tc>
          <w:tcPr>
            <w:tcW w:w="4041" w:type="pct"/>
            <w:tcBorders>
              <w:top w:val="nil"/>
              <w:left w:val="single" w:color="000000" w:sz="8" w:space="0"/>
              <w:bottom w:val="single" w:color="000000" w:sz="8" w:space="0"/>
              <w:right w:val="single" w:color="000000" w:sz="8" w:space="0"/>
            </w:tcBorders>
            <w:shd w:val="clear" w:color="auto" w:fill="auto"/>
            <w:vAlign w:val="center"/>
          </w:tcPr>
          <w:p w14:paraId="5B427A8A">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②投标人拟为本项目配置的项目团队成员总人数</w:t>
            </w:r>
            <w:r>
              <w:rPr>
                <w:rStyle w:val="26"/>
                <w:rFonts w:eastAsia="宋体"/>
                <w:lang w:val="en-US" w:eastAsia="zh-CN"/>
              </w:rPr>
              <w:t>30</w:t>
            </w:r>
            <w:r>
              <w:rPr>
                <w:rStyle w:val="27"/>
                <w:lang w:val="en-US" w:eastAsia="zh-CN"/>
              </w:rPr>
              <w:t>人以上的得</w:t>
            </w:r>
            <w:r>
              <w:rPr>
                <w:rStyle w:val="26"/>
                <w:rFonts w:eastAsia="宋体"/>
                <w:lang w:val="en-US" w:eastAsia="zh-CN"/>
              </w:rPr>
              <w:t>6</w:t>
            </w:r>
            <w:r>
              <w:rPr>
                <w:rStyle w:val="27"/>
                <w:lang w:val="en-US" w:eastAsia="zh-CN"/>
              </w:rPr>
              <w:t>分，</w:t>
            </w:r>
            <w:r>
              <w:rPr>
                <w:rStyle w:val="26"/>
                <w:rFonts w:eastAsia="宋体"/>
                <w:lang w:val="en-US" w:eastAsia="zh-CN"/>
              </w:rPr>
              <w:t>20-29</w:t>
            </w:r>
            <w:r>
              <w:rPr>
                <w:rStyle w:val="27"/>
                <w:lang w:val="en-US" w:eastAsia="zh-CN"/>
              </w:rPr>
              <w:t>人的得</w:t>
            </w:r>
            <w:r>
              <w:rPr>
                <w:rStyle w:val="26"/>
                <w:rFonts w:eastAsia="宋体"/>
                <w:lang w:val="en-US" w:eastAsia="zh-CN"/>
              </w:rPr>
              <w:t>4</w:t>
            </w:r>
            <w:r>
              <w:rPr>
                <w:rStyle w:val="27"/>
                <w:lang w:val="en-US" w:eastAsia="zh-CN"/>
              </w:rPr>
              <w:t>分，</w:t>
            </w:r>
            <w:r>
              <w:rPr>
                <w:rStyle w:val="26"/>
                <w:rFonts w:eastAsia="宋体"/>
                <w:lang w:val="en-US" w:eastAsia="zh-CN"/>
              </w:rPr>
              <w:t>10-19</w:t>
            </w:r>
            <w:r>
              <w:rPr>
                <w:rStyle w:val="27"/>
                <w:lang w:val="en-US" w:eastAsia="zh-CN"/>
              </w:rPr>
              <w:t>人的得</w:t>
            </w:r>
            <w:r>
              <w:rPr>
                <w:rStyle w:val="26"/>
                <w:rFonts w:eastAsia="宋体"/>
                <w:lang w:val="en-US" w:eastAsia="zh-CN"/>
              </w:rPr>
              <w:t>2</w:t>
            </w:r>
            <w:r>
              <w:rPr>
                <w:rStyle w:val="27"/>
                <w:lang w:val="en-US" w:eastAsia="zh-CN"/>
              </w:rPr>
              <w:t>分；</w:t>
            </w:r>
            <w:r>
              <w:rPr>
                <w:rStyle w:val="26"/>
                <w:rFonts w:eastAsia="宋体"/>
                <w:lang w:val="en-US" w:eastAsia="zh-CN"/>
              </w:rPr>
              <w:t>10</w:t>
            </w:r>
            <w:r>
              <w:rPr>
                <w:rStyle w:val="27"/>
                <w:lang w:val="en-US" w:eastAsia="zh-CN"/>
              </w:rPr>
              <w:t>人以下的不得分。注：与本项目相关专业的职称包含生态环境类、化工类或水工环类；投标人须提供项目组成员相关证书原件及原件扫描件，并提供近</w:t>
            </w:r>
            <w:r>
              <w:rPr>
                <w:rStyle w:val="26"/>
                <w:rFonts w:eastAsia="宋体"/>
                <w:lang w:val="en-US" w:eastAsia="zh-CN"/>
              </w:rPr>
              <w:t>1</w:t>
            </w:r>
            <w:r>
              <w:rPr>
                <w:rStyle w:val="27"/>
                <w:lang w:val="en-US" w:eastAsia="zh-CN"/>
              </w:rPr>
              <w:t>年来不少于</w:t>
            </w:r>
            <w:r>
              <w:rPr>
                <w:rStyle w:val="26"/>
                <w:rFonts w:eastAsia="宋体"/>
                <w:lang w:val="en-US" w:eastAsia="zh-CN"/>
              </w:rPr>
              <w:t>6</w:t>
            </w:r>
            <w:r>
              <w:rPr>
                <w:rStyle w:val="27"/>
                <w:lang w:val="en-US" w:eastAsia="zh-CN"/>
              </w:rPr>
              <w:t>个月连续在本单位缴纳社会保险的证明材料扫描件，提供资料不全或不符合招标文件要求的，不予计分。</w:t>
            </w:r>
          </w:p>
        </w:tc>
      </w:tr>
      <w:tr w14:paraId="3C11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64FF2B1C">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4</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A2B9647"/>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7FA5E964">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设备配备（</w:t>
            </w:r>
            <w:r>
              <w:rPr>
                <w:rStyle w:val="26"/>
                <w:rFonts w:eastAsia="宋体"/>
                <w:lang w:val="en-US" w:eastAsia="zh-CN"/>
              </w:rPr>
              <w:t>12</w:t>
            </w:r>
            <w:r>
              <w:rPr>
                <w:rStyle w:val="27"/>
                <w:lang w:val="en-US" w:eastAsia="zh-CN"/>
              </w:rPr>
              <w:t>分）</w:t>
            </w:r>
          </w:p>
        </w:tc>
        <w:tc>
          <w:tcPr>
            <w:tcW w:w="4041" w:type="pct"/>
            <w:tcBorders>
              <w:top w:val="nil"/>
              <w:left w:val="single" w:color="000000" w:sz="8" w:space="0"/>
              <w:bottom w:val="nil"/>
              <w:right w:val="single" w:color="000000" w:sz="8" w:space="0"/>
            </w:tcBorders>
            <w:shd w:val="clear" w:color="auto" w:fill="auto"/>
            <w:vAlign w:val="center"/>
          </w:tcPr>
          <w:p w14:paraId="00D0437D">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①投标人具有无扰动非灌浆钻机设备（自主持有或租赁）得</w:t>
            </w:r>
            <w:r>
              <w:rPr>
                <w:rStyle w:val="26"/>
                <w:rFonts w:eastAsia="宋体"/>
                <w:lang w:val="en-US" w:eastAsia="zh-CN"/>
              </w:rPr>
              <w:t>3</w:t>
            </w:r>
            <w:r>
              <w:rPr>
                <w:rStyle w:val="27"/>
                <w:lang w:val="en-US" w:eastAsia="zh-CN"/>
              </w:rPr>
              <w:t>分。需提供设备购买发票或租赁证明原件扫描件，否则不得分。</w:t>
            </w:r>
          </w:p>
        </w:tc>
      </w:tr>
      <w:tr w14:paraId="32CC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0040C40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320A1D6"/>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3931D99F"/>
        </w:tc>
        <w:tc>
          <w:tcPr>
            <w:tcW w:w="4041" w:type="pct"/>
            <w:tcBorders>
              <w:top w:val="nil"/>
              <w:left w:val="single" w:color="000000" w:sz="8" w:space="0"/>
              <w:bottom w:val="nil"/>
              <w:right w:val="single" w:color="000000" w:sz="8" w:space="0"/>
            </w:tcBorders>
            <w:shd w:val="clear" w:color="auto" w:fill="auto"/>
            <w:vAlign w:val="center"/>
          </w:tcPr>
          <w:p w14:paraId="78AD943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②投标人需同时具备离子色谱仪、紫外可见分光光度计、可见分光光度计、火焰原子吸收分光光度计、石墨炉原子吸收分光光度计、电感耦合等离子体质谱仪（</w:t>
            </w:r>
            <w:r>
              <w:rPr>
                <w:rStyle w:val="26"/>
                <w:rFonts w:eastAsia="宋体"/>
                <w:lang w:val="en-US" w:eastAsia="zh-CN"/>
              </w:rPr>
              <w:t>ICP-MS</w:t>
            </w:r>
            <w:r>
              <w:rPr>
                <w:rStyle w:val="27"/>
                <w:lang w:val="en-US" w:eastAsia="zh-CN"/>
              </w:rPr>
              <w:t>）、气相色谱</w:t>
            </w:r>
            <w:r>
              <w:rPr>
                <w:rStyle w:val="26"/>
                <w:rFonts w:eastAsia="宋体"/>
                <w:lang w:val="en-US" w:eastAsia="zh-CN"/>
              </w:rPr>
              <w:t>-</w:t>
            </w:r>
            <w:r>
              <w:rPr>
                <w:rStyle w:val="27"/>
                <w:lang w:val="en-US" w:eastAsia="zh-CN"/>
              </w:rPr>
              <w:t>质谱联用仪、吹扫捕集器、原子荧光光度计、气相色谱仪等大型设备的，每具有一种得</w:t>
            </w:r>
            <w:r>
              <w:rPr>
                <w:rStyle w:val="26"/>
                <w:rFonts w:eastAsia="宋体"/>
                <w:lang w:val="en-US" w:eastAsia="zh-CN"/>
              </w:rPr>
              <w:t>0.5</w:t>
            </w:r>
            <w:r>
              <w:rPr>
                <w:rStyle w:val="27"/>
                <w:lang w:val="en-US" w:eastAsia="zh-CN"/>
              </w:rPr>
              <w:t>分，本项最高得</w:t>
            </w:r>
            <w:r>
              <w:rPr>
                <w:rStyle w:val="26"/>
                <w:rFonts w:eastAsia="宋体"/>
                <w:lang w:val="en-US" w:eastAsia="zh-CN"/>
              </w:rPr>
              <w:t>5</w:t>
            </w:r>
            <w:r>
              <w:rPr>
                <w:rStyle w:val="27"/>
                <w:lang w:val="en-US" w:eastAsia="zh-CN"/>
              </w:rPr>
              <w:t>分。需提供设备购买发票或检定</w:t>
            </w:r>
            <w:r>
              <w:rPr>
                <w:rStyle w:val="26"/>
                <w:rFonts w:eastAsia="宋体"/>
                <w:lang w:val="en-US" w:eastAsia="zh-CN"/>
              </w:rPr>
              <w:t>/</w:t>
            </w:r>
            <w:r>
              <w:rPr>
                <w:rStyle w:val="27"/>
                <w:lang w:val="en-US" w:eastAsia="zh-CN"/>
              </w:rPr>
              <w:t>校准证书原件扫描件，否则不得分。</w:t>
            </w:r>
          </w:p>
        </w:tc>
      </w:tr>
      <w:tr w14:paraId="1377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31DA3D23"/>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B3DBE1A"/>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C4B47AE"/>
        </w:tc>
        <w:tc>
          <w:tcPr>
            <w:tcW w:w="4041" w:type="pct"/>
            <w:tcBorders>
              <w:top w:val="nil"/>
              <w:left w:val="single" w:color="000000" w:sz="8" w:space="0"/>
              <w:bottom w:val="single" w:color="000000" w:sz="8" w:space="0"/>
              <w:right w:val="single" w:color="000000" w:sz="8" w:space="0"/>
            </w:tcBorders>
            <w:shd w:val="clear" w:color="auto" w:fill="auto"/>
            <w:vAlign w:val="center"/>
          </w:tcPr>
          <w:p w14:paraId="025CBA01">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③第②条中要求设备每增加</w:t>
            </w:r>
            <w:r>
              <w:rPr>
                <w:rStyle w:val="26"/>
                <w:rFonts w:eastAsia="宋体"/>
                <w:lang w:val="en-US" w:eastAsia="zh-CN"/>
              </w:rPr>
              <w:t>1</w:t>
            </w:r>
            <w:r>
              <w:rPr>
                <w:rStyle w:val="27"/>
                <w:lang w:val="en-US" w:eastAsia="zh-CN"/>
              </w:rPr>
              <w:t>台加</w:t>
            </w:r>
            <w:r>
              <w:rPr>
                <w:rStyle w:val="26"/>
                <w:rFonts w:eastAsia="宋体"/>
                <w:lang w:val="en-US" w:eastAsia="zh-CN"/>
              </w:rPr>
              <w:t>1</w:t>
            </w:r>
            <w:r>
              <w:rPr>
                <w:rStyle w:val="27"/>
                <w:lang w:val="en-US" w:eastAsia="zh-CN"/>
              </w:rPr>
              <w:t>分，本项最高加</w:t>
            </w:r>
            <w:r>
              <w:rPr>
                <w:rStyle w:val="26"/>
                <w:rFonts w:eastAsia="宋体"/>
                <w:lang w:val="en-US" w:eastAsia="zh-CN"/>
              </w:rPr>
              <w:t>4</w:t>
            </w:r>
            <w:r>
              <w:rPr>
                <w:rStyle w:val="27"/>
                <w:lang w:val="en-US" w:eastAsia="zh-CN"/>
              </w:rPr>
              <w:t>分。需提供设备购买发票或检定</w:t>
            </w:r>
            <w:r>
              <w:rPr>
                <w:rStyle w:val="26"/>
                <w:rFonts w:eastAsia="宋体"/>
                <w:lang w:val="en-US" w:eastAsia="zh-CN"/>
              </w:rPr>
              <w:t>/</w:t>
            </w:r>
            <w:r>
              <w:rPr>
                <w:rStyle w:val="27"/>
                <w:lang w:val="en-US" w:eastAsia="zh-CN"/>
              </w:rPr>
              <w:t>校准证书原件扫描件，否则不得分。</w:t>
            </w:r>
          </w:p>
        </w:tc>
      </w:tr>
      <w:tr w14:paraId="7FED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tcBorders>
              <w:top w:val="nil"/>
              <w:left w:val="single" w:color="000000" w:sz="8" w:space="0"/>
              <w:bottom w:val="single" w:color="000000" w:sz="8" w:space="0"/>
              <w:right w:val="single" w:color="000000" w:sz="8" w:space="0"/>
            </w:tcBorders>
            <w:shd w:val="clear" w:color="auto" w:fill="auto"/>
            <w:vAlign w:val="center"/>
          </w:tcPr>
          <w:p w14:paraId="0AECBB9C">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5</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25F8F14"/>
        </w:tc>
        <w:tc>
          <w:tcPr>
            <w:tcW w:w="453" w:type="pct"/>
            <w:tcBorders>
              <w:top w:val="nil"/>
              <w:left w:val="single" w:color="000000" w:sz="8" w:space="0"/>
              <w:bottom w:val="single" w:color="000000" w:sz="8" w:space="0"/>
              <w:right w:val="single" w:color="000000" w:sz="8" w:space="0"/>
            </w:tcBorders>
            <w:shd w:val="clear" w:color="auto" w:fill="auto"/>
            <w:vAlign w:val="center"/>
          </w:tcPr>
          <w:p w14:paraId="37EF41B4">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本地化服务</w:t>
            </w:r>
            <w:r>
              <w:rPr>
                <w:rFonts w:ascii="宋体" w:eastAsia="宋体" w:cs="宋体"/>
                <w:i w:val="0"/>
                <w:iCs w:val="0"/>
                <w:color w:val="000000"/>
                <w:kern w:val="0"/>
                <w:sz w:val="21"/>
                <w:szCs w:val="21"/>
                <w:u w:val="none"/>
                <w:lang w:val="en-US" w:eastAsia="zh-CN"/>
              </w:rPr>
              <w:t>（5分）</w:t>
            </w:r>
          </w:p>
        </w:tc>
        <w:tc>
          <w:tcPr>
            <w:tcW w:w="4041" w:type="pct"/>
            <w:tcBorders>
              <w:top w:val="nil"/>
              <w:left w:val="single" w:color="000000" w:sz="8" w:space="0"/>
              <w:bottom w:val="single" w:color="000000" w:sz="8" w:space="0"/>
              <w:right w:val="single" w:color="000000" w:sz="8" w:space="0"/>
            </w:tcBorders>
            <w:shd w:val="clear" w:color="auto" w:fill="auto"/>
            <w:vAlign w:val="center"/>
          </w:tcPr>
          <w:p w14:paraId="25DBE9D0">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本项目工期紧且部分检测指标保存时限较短，为保证样品时效，供应商注册地位于东营市，或在东营市设有分公司等办事机构的，得</w:t>
            </w:r>
            <w:r>
              <w:rPr>
                <w:rStyle w:val="26"/>
                <w:rFonts w:eastAsia="宋体"/>
                <w:lang w:val="en-US" w:eastAsia="zh-CN"/>
              </w:rPr>
              <w:t>5</w:t>
            </w:r>
            <w:r>
              <w:rPr>
                <w:rStyle w:val="27"/>
                <w:lang w:val="en-US" w:eastAsia="zh-CN"/>
              </w:rPr>
              <w:t>分</w:t>
            </w:r>
          </w:p>
        </w:tc>
      </w:tr>
      <w:tr w14:paraId="1E3A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0D3198B8">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6</w:t>
            </w:r>
          </w:p>
        </w:tc>
        <w:tc>
          <w:tcPr>
            <w:tcW w:w="277" w:type="pct"/>
            <w:vMerge w:val="restart"/>
            <w:tcBorders>
              <w:top w:val="nil"/>
              <w:left w:val="single" w:color="000000" w:sz="8" w:space="0"/>
              <w:bottom w:val="single" w:color="000000" w:sz="8" w:space="0"/>
              <w:right w:val="single" w:color="000000" w:sz="8" w:space="0"/>
            </w:tcBorders>
            <w:shd w:val="clear" w:color="auto" w:fill="auto"/>
            <w:vAlign w:val="center"/>
          </w:tcPr>
          <w:p w14:paraId="0CA263A5">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技术部分（</w:t>
            </w:r>
            <w:r>
              <w:rPr>
                <w:rStyle w:val="26"/>
                <w:rFonts w:eastAsia="宋体"/>
                <w:lang w:val="en-US" w:eastAsia="zh-CN"/>
              </w:rPr>
              <w:t>45</w:t>
            </w:r>
            <w:r>
              <w:rPr>
                <w:rStyle w:val="27"/>
                <w:lang w:val="en-US" w:eastAsia="zh-CN"/>
              </w:rPr>
              <w:t>分）</w:t>
            </w:r>
          </w:p>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6F3BA4C2">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对本项目的理解、工作目标、项目内容的分析</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559DE073">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①有对本项目的理解、工作目标、项目内容的分析的，在</w:t>
            </w:r>
            <w:r>
              <w:rPr>
                <w:rStyle w:val="26"/>
                <w:rFonts w:eastAsia="宋体"/>
                <w:lang w:val="en-US" w:eastAsia="zh-CN"/>
              </w:rPr>
              <w:t>6-7</w:t>
            </w:r>
            <w:r>
              <w:rPr>
                <w:rStyle w:val="27"/>
                <w:lang w:val="en-US" w:eastAsia="zh-CN"/>
              </w:rPr>
              <w:t>（含）之间打分；</w:t>
            </w:r>
          </w:p>
        </w:tc>
      </w:tr>
      <w:tr w14:paraId="21AA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0CDE7F21"/>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2C76EDE"/>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6A6D11BC"/>
        </w:tc>
        <w:tc>
          <w:tcPr>
            <w:tcW w:w="4041" w:type="pct"/>
            <w:tcBorders>
              <w:top w:val="nil"/>
              <w:left w:val="single" w:color="000000" w:sz="8" w:space="0"/>
              <w:bottom w:val="nil"/>
              <w:right w:val="single" w:color="000000" w:sz="8" w:space="0"/>
            </w:tcBorders>
            <w:shd w:val="clear" w:color="auto" w:fill="auto"/>
            <w:vAlign w:val="center"/>
          </w:tcPr>
          <w:p w14:paraId="4A1A1824">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②对本项目的理解、工作目标、项目内容的分析符合项目实际情况，合理可行的，在</w:t>
            </w:r>
            <w:r>
              <w:rPr>
                <w:rStyle w:val="26"/>
                <w:rFonts w:eastAsia="宋体"/>
                <w:lang w:val="en-US" w:eastAsia="zh-CN"/>
              </w:rPr>
              <w:t>7-8</w:t>
            </w:r>
            <w:r>
              <w:rPr>
                <w:rStyle w:val="27"/>
                <w:lang w:val="en-US" w:eastAsia="zh-CN"/>
              </w:rPr>
              <w:t>（含）之间打分；</w:t>
            </w:r>
          </w:p>
        </w:tc>
      </w:tr>
      <w:tr w14:paraId="49E2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449469C4"/>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0C0C25F"/>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4BC6D3D5"/>
        </w:tc>
        <w:tc>
          <w:tcPr>
            <w:tcW w:w="4041" w:type="pct"/>
            <w:tcBorders>
              <w:top w:val="nil"/>
              <w:left w:val="single" w:color="000000" w:sz="8" w:space="0"/>
              <w:bottom w:val="single" w:color="000000" w:sz="8" w:space="0"/>
              <w:right w:val="single" w:color="000000" w:sz="8" w:space="0"/>
            </w:tcBorders>
            <w:shd w:val="clear" w:color="auto" w:fill="auto"/>
            <w:vAlign w:val="center"/>
          </w:tcPr>
          <w:p w14:paraId="63E9ABC3">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③对本项目的理解完整通透、工作目标、项目内容的分析科学、合理，在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1463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45CF0F0A">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7</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5392D2C9"/>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6CAB1169">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项目实施方案</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46FD5BFB">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①有针对本项目的实施方案的，在</w:t>
            </w:r>
            <w:r>
              <w:rPr>
                <w:rStyle w:val="26"/>
                <w:rFonts w:eastAsia="宋体"/>
                <w:lang w:val="en-US" w:eastAsia="zh-CN"/>
              </w:rPr>
              <w:t>6-7</w:t>
            </w:r>
            <w:r>
              <w:rPr>
                <w:rStyle w:val="27"/>
                <w:lang w:val="en-US" w:eastAsia="zh-CN"/>
              </w:rPr>
              <w:t>（含）之间打分；</w:t>
            </w:r>
          </w:p>
        </w:tc>
      </w:tr>
      <w:tr w14:paraId="62C6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340A622"/>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F344A20"/>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BFD17C2"/>
        </w:tc>
        <w:tc>
          <w:tcPr>
            <w:tcW w:w="4041" w:type="pct"/>
            <w:tcBorders>
              <w:top w:val="nil"/>
              <w:left w:val="single" w:color="000000" w:sz="8" w:space="0"/>
              <w:bottom w:val="nil"/>
              <w:right w:val="single" w:color="000000" w:sz="8" w:space="0"/>
            </w:tcBorders>
            <w:shd w:val="clear" w:color="auto" w:fill="auto"/>
            <w:vAlign w:val="center"/>
          </w:tcPr>
          <w:p w14:paraId="04B8B86A">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②项目实施方案详细完整、合理可行的，在</w:t>
            </w:r>
            <w:r>
              <w:rPr>
                <w:rStyle w:val="26"/>
                <w:rFonts w:eastAsia="宋体"/>
                <w:lang w:val="en-US" w:eastAsia="zh-CN"/>
              </w:rPr>
              <w:t>7-8</w:t>
            </w:r>
            <w:r>
              <w:rPr>
                <w:rStyle w:val="27"/>
                <w:lang w:val="en-US" w:eastAsia="zh-CN"/>
              </w:rPr>
              <w:t>（含）之间打分；</w:t>
            </w:r>
          </w:p>
        </w:tc>
      </w:tr>
      <w:tr w14:paraId="36A8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2A1F25B2"/>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5CBB1288"/>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176911F5"/>
        </w:tc>
        <w:tc>
          <w:tcPr>
            <w:tcW w:w="4041" w:type="pct"/>
            <w:tcBorders>
              <w:top w:val="nil"/>
              <w:left w:val="single" w:color="000000" w:sz="8" w:space="0"/>
              <w:bottom w:val="single" w:color="000000" w:sz="8" w:space="0"/>
              <w:right w:val="single" w:color="000000" w:sz="8" w:space="0"/>
            </w:tcBorders>
            <w:shd w:val="clear" w:color="auto" w:fill="auto"/>
            <w:vAlign w:val="center"/>
          </w:tcPr>
          <w:p w14:paraId="5F1E46A6">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③项目实施方案全面细致、专业性强，实施全过程的工作程序及方法思路清晰、规范、周密的，在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6969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0CE20113">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8</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682E3183"/>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4090BC86">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工作进度计划安排及工期保证措施</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096EC5CD">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①有针对本项目的工作进度计划安排及工期保证措施的，在</w:t>
            </w:r>
            <w:r>
              <w:rPr>
                <w:rStyle w:val="26"/>
                <w:rFonts w:eastAsia="宋体"/>
                <w:lang w:val="en-US" w:eastAsia="zh-CN"/>
              </w:rPr>
              <w:t>6-7</w:t>
            </w:r>
            <w:r>
              <w:rPr>
                <w:rStyle w:val="27"/>
                <w:lang w:val="en-US" w:eastAsia="zh-CN"/>
              </w:rPr>
              <w:t>（含）之间打分；</w:t>
            </w:r>
          </w:p>
        </w:tc>
      </w:tr>
      <w:tr w14:paraId="02F0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47258C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09DC6BCF"/>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3DEBB776"/>
        </w:tc>
        <w:tc>
          <w:tcPr>
            <w:tcW w:w="4041" w:type="pct"/>
            <w:tcBorders>
              <w:top w:val="nil"/>
              <w:left w:val="single" w:color="000000" w:sz="8" w:space="0"/>
              <w:bottom w:val="nil"/>
              <w:right w:val="single" w:color="000000" w:sz="8" w:space="0"/>
            </w:tcBorders>
            <w:shd w:val="clear" w:color="auto" w:fill="auto"/>
            <w:vAlign w:val="center"/>
          </w:tcPr>
          <w:p w14:paraId="11BB3294">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②本项目的工作进度计划安排及工期保证措施合理、可行的，在</w:t>
            </w:r>
            <w:r>
              <w:rPr>
                <w:rStyle w:val="26"/>
                <w:rFonts w:eastAsia="宋体"/>
                <w:lang w:val="en-US" w:eastAsia="zh-CN"/>
              </w:rPr>
              <w:t>7-8</w:t>
            </w:r>
            <w:r>
              <w:rPr>
                <w:rStyle w:val="27"/>
                <w:lang w:val="en-US" w:eastAsia="zh-CN"/>
              </w:rPr>
              <w:t>（含）之间打分；</w:t>
            </w:r>
          </w:p>
        </w:tc>
      </w:tr>
      <w:tr w14:paraId="0341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69559A37"/>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4FD75F12"/>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7B02D605"/>
        </w:tc>
        <w:tc>
          <w:tcPr>
            <w:tcW w:w="4041" w:type="pct"/>
            <w:tcBorders>
              <w:top w:val="nil"/>
              <w:left w:val="single" w:color="000000" w:sz="8" w:space="0"/>
              <w:bottom w:val="single" w:color="000000" w:sz="8" w:space="0"/>
              <w:right w:val="single" w:color="000000" w:sz="8" w:space="0"/>
            </w:tcBorders>
            <w:shd w:val="clear" w:color="auto" w:fill="auto"/>
            <w:vAlign w:val="center"/>
          </w:tcPr>
          <w:p w14:paraId="3F5B0158">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③对本项目的工作进度计划安排及工期保证措施进行了分析，方案全面合理，明确各个阶段的工作计划和工期保证措施的，在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2AEF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730EC856">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9</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69B148CD"/>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645B4D7B">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对本项目的质量保证措施</w:t>
            </w:r>
            <w:r>
              <w:rPr>
                <w:rFonts w:ascii="宋体" w:eastAsia="宋体" w:cs="宋体"/>
                <w:i w:val="0"/>
                <w:iCs w:val="0"/>
                <w:color w:val="000000"/>
                <w:kern w:val="0"/>
                <w:sz w:val="21"/>
                <w:szCs w:val="21"/>
                <w:u w:val="none"/>
                <w:lang w:val="en-US" w:eastAsia="zh-CN"/>
              </w:rPr>
              <w:t>（10分）</w:t>
            </w:r>
          </w:p>
        </w:tc>
        <w:tc>
          <w:tcPr>
            <w:tcW w:w="4041" w:type="pct"/>
            <w:tcBorders>
              <w:top w:val="nil"/>
              <w:left w:val="single" w:color="000000" w:sz="8" w:space="0"/>
              <w:bottom w:val="nil"/>
              <w:right w:val="single" w:color="000000" w:sz="8" w:space="0"/>
            </w:tcBorders>
            <w:shd w:val="clear" w:color="auto" w:fill="auto"/>
            <w:vAlign w:val="center"/>
          </w:tcPr>
          <w:p w14:paraId="0EB2B1DB">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①有针对本项目的质量保证措施方案的，在</w:t>
            </w:r>
            <w:r>
              <w:rPr>
                <w:rStyle w:val="26"/>
                <w:rFonts w:eastAsia="宋体"/>
                <w:lang w:val="en-US" w:eastAsia="zh-CN"/>
              </w:rPr>
              <w:t>6-7</w:t>
            </w:r>
            <w:r>
              <w:rPr>
                <w:rStyle w:val="27"/>
                <w:lang w:val="en-US" w:eastAsia="zh-CN"/>
              </w:rPr>
              <w:t>（含）之间打分；</w:t>
            </w:r>
          </w:p>
        </w:tc>
      </w:tr>
      <w:tr w14:paraId="3A40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725C3F87"/>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7E7FFD86"/>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3B74C34F"/>
        </w:tc>
        <w:tc>
          <w:tcPr>
            <w:tcW w:w="4041" w:type="pct"/>
            <w:tcBorders>
              <w:top w:val="nil"/>
              <w:left w:val="single" w:color="000000" w:sz="8" w:space="0"/>
              <w:bottom w:val="nil"/>
              <w:right w:val="single" w:color="000000" w:sz="8" w:space="0"/>
            </w:tcBorders>
            <w:shd w:val="clear" w:color="auto" w:fill="auto"/>
            <w:vAlign w:val="center"/>
          </w:tcPr>
          <w:p w14:paraId="17C2CADD">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②质量保证措施方案内容充实，实施合理、可行的，在</w:t>
            </w:r>
            <w:r>
              <w:rPr>
                <w:rStyle w:val="26"/>
                <w:rFonts w:eastAsia="宋体"/>
                <w:lang w:val="en-US" w:eastAsia="zh-CN"/>
              </w:rPr>
              <w:t>7-8</w:t>
            </w:r>
            <w:r>
              <w:rPr>
                <w:rStyle w:val="27"/>
                <w:lang w:val="en-US" w:eastAsia="zh-CN"/>
              </w:rPr>
              <w:t>（含）之间打分；</w:t>
            </w:r>
          </w:p>
        </w:tc>
      </w:tr>
      <w:tr w14:paraId="1AF2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62E5DA24"/>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0325606"/>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5878CD50"/>
        </w:tc>
        <w:tc>
          <w:tcPr>
            <w:tcW w:w="4041" w:type="pct"/>
            <w:tcBorders>
              <w:top w:val="nil"/>
              <w:left w:val="single" w:color="000000" w:sz="8" w:space="0"/>
              <w:bottom w:val="single" w:color="000000" w:sz="8" w:space="0"/>
              <w:right w:val="single" w:color="000000" w:sz="8" w:space="0"/>
            </w:tcBorders>
            <w:shd w:val="clear" w:color="auto" w:fill="auto"/>
            <w:vAlign w:val="center"/>
          </w:tcPr>
          <w:p w14:paraId="0195E210">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③质量保证措施方案安排科学合理，表述完善清晰的，在</w:t>
            </w:r>
            <w:r>
              <w:rPr>
                <w:rStyle w:val="26"/>
                <w:rFonts w:eastAsia="宋体"/>
                <w:lang w:val="en-US" w:eastAsia="zh-CN"/>
              </w:rPr>
              <w:t>8-10</w:t>
            </w:r>
            <w:r>
              <w:rPr>
                <w:rStyle w:val="27"/>
                <w:lang w:val="en-US" w:eastAsia="zh-CN"/>
              </w:rPr>
              <w:t>（含）之间打分。本项最高</w:t>
            </w:r>
            <w:r>
              <w:rPr>
                <w:rStyle w:val="26"/>
                <w:rFonts w:eastAsia="宋体"/>
                <w:lang w:val="en-US" w:eastAsia="zh-CN"/>
              </w:rPr>
              <w:t>10</w:t>
            </w:r>
            <w:r>
              <w:rPr>
                <w:rStyle w:val="27"/>
                <w:lang w:val="en-US" w:eastAsia="zh-CN"/>
              </w:rPr>
              <w:t>分，缺项不得分。</w:t>
            </w:r>
          </w:p>
        </w:tc>
      </w:tr>
      <w:tr w14:paraId="554A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restart"/>
            <w:tcBorders>
              <w:top w:val="nil"/>
              <w:left w:val="single" w:color="000000" w:sz="8" w:space="0"/>
              <w:bottom w:val="single" w:color="000000" w:sz="8" w:space="0"/>
              <w:right w:val="single" w:color="000000" w:sz="8" w:space="0"/>
            </w:tcBorders>
            <w:shd w:val="clear" w:color="auto" w:fill="auto"/>
            <w:vAlign w:val="center"/>
          </w:tcPr>
          <w:p w14:paraId="300110BF">
            <w:pPr>
              <w:keepNext w:val="0"/>
              <w:keepLines w:val="0"/>
              <w:widowControl/>
              <w:suppressLineNumbers w:val="0"/>
              <w:jc w:val="center"/>
              <w:textAlignment w:val="center"/>
              <w:rPr>
                <w:rFonts w:ascii="Times New Roman" w:hAnsi="Times New Roman" w:eastAsia="宋体" w:cs="Times New Roman"/>
                <w:i w:val="0"/>
                <w:iCs w:val="0"/>
                <w:color w:val="000000"/>
                <w:sz w:val="21"/>
                <w:szCs w:val="21"/>
                <w:u w:val="none"/>
              </w:rPr>
            </w:pPr>
            <w:r>
              <w:rPr>
                <w:rFonts w:ascii="Times New Roman" w:hAnsi="Times New Roman" w:eastAsia="宋体" w:cs="Times New Roman"/>
                <w:i w:val="0"/>
                <w:iCs w:val="0"/>
                <w:color w:val="000000"/>
                <w:kern w:val="0"/>
                <w:sz w:val="21"/>
                <w:szCs w:val="21"/>
                <w:u w:val="none"/>
                <w:lang w:val="en-US" w:eastAsia="zh-CN"/>
              </w:rPr>
              <w:t>10</w:t>
            </w:r>
          </w:p>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BA6183A"/>
        </w:tc>
        <w:tc>
          <w:tcPr>
            <w:tcW w:w="453" w:type="pct"/>
            <w:vMerge w:val="restart"/>
            <w:tcBorders>
              <w:top w:val="nil"/>
              <w:left w:val="single" w:color="000000" w:sz="8" w:space="0"/>
              <w:bottom w:val="single" w:color="000000" w:sz="8" w:space="0"/>
              <w:right w:val="single" w:color="000000" w:sz="8" w:space="0"/>
            </w:tcBorders>
            <w:shd w:val="clear" w:color="auto" w:fill="auto"/>
            <w:vAlign w:val="center"/>
          </w:tcPr>
          <w:p w14:paraId="30BB7784">
            <w:pPr>
              <w:keepNext w:val="0"/>
              <w:keepLines w:val="0"/>
              <w:widowControl/>
              <w:suppressLineNumbers w:val="0"/>
              <w:jc w:val="center"/>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突发情况应急工作预案</w:t>
            </w:r>
            <w:r>
              <w:rPr>
                <w:rFonts w:ascii="宋体" w:eastAsia="宋体" w:cs="宋体"/>
                <w:i w:val="0"/>
                <w:iCs w:val="0"/>
                <w:color w:val="000000"/>
                <w:kern w:val="0"/>
                <w:sz w:val="21"/>
                <w:szCs w:val="21"/>
                <w:u w:val="none"/>
                <w:lang w:val="en-US" w:eastAsia="zh-CN"/>
              </w:rPr>
              <w:t>（5分）</w:t>
            </w:r>
          </w:p>
        </w:tc>
        <w:tc>
          <w:tcPr>
            <w:tcW w:w="4041" w:type="pct"/>
            <w:tcBorders>
              <w:top w:val="nil"/>
              <w:left w:val="single" w:color="000000" w:sz="8" w:space="0"/>
              <w:bottom w:val="nil"/>
              <w:right w:val="single" w:color="000000" w:sz="8" w:space="0"/>
            </w:tcBorders>
            <w:shd w:val="clear" w:color="auto" w:fill="auto"/>
            <w:vAlign w:val="center"/>
          </w:tcPr>
          <w:p w14:paraId="20B93236">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①有针对本项目的突发情况应急工作预案的，在</w:t>
            </w:r>
            <w:r>
              <w:rPr>
                <w:rStyle w:val="26"/>
                <w:rFonts w:eastAsia="宋体"/>
                <w:lang w:val="en-US" w:eastAsia="zh-CN"/>
              </w:rPr>
              <w:t>2-3</w:t>
            </w:r>
            <w:r>
              <w:rPr>
                <w:rStyle w:val="27"/>
                <w:lang w:val="en-US" w:eastAsia="zh-CN"/>
              </w:rPr>
              <w:t>（含）之间打分；</w:t>
            </w:r>
          </w:p>
        </w:tc>
      </w:tr>
      <w:tr w14:paraId="70A6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25B7560A"/>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242B069A"/>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4F92E6B2"/>
        </w:tc>
        <w:tc>
          <w:tcPr>
            <w:tcW w:w="4041" w:type="pct"/>
            <w:tcBorders>
              <w:top w:val="nil"/>
              <w:left w:val="single" w:color="000000" w:sz="8" w:space="0"/>
              <w:bottom w:val="nil"/>
              <w:right w:val="single" w:color="000000" w:sz="8" w:space="0"/>
            </w:tcBorders>
            <w:shd w:val="clear" w:color="auto" w:fill="auto"/>
            <w:vAlign w:val="center"/>
          </w:tcPr>
          <w:p w14:paraId="47B50B55">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②突发情况应急工作预案合理、可行的，在</w:t>
            </w:r>
            <w:r>
              <w:rPr>
                <w:rStyle w:val="26"/>
                <w:rFonts w:eastAsia="宋体"/>
                <w:lang w:val="en-US" w:eastAsia="zh-CN"/>
              </w:rPr>
              <w:t>3-4</w:t>
            </w:r>
            <w:r>
              <w:rPr>
                <w:rStyle w:val="27"/>
                <w:lang w:val="en-US" w:eastAsia="zh-CN"/>
              </w:rPr>
              <w:t>（含）之间打分；</w:t>
            </w:r>
          </w:p>
        </w:tc>
      </w:tr>
      <w:tr w14:paraId="3DDE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7" w:type="pct"/>
            <w:vMerge w:val="continue"/>
            <w:tcBorders>
              <w:top w:val="nil"/>
              <w:left w:val="single" w:color="000000" w:sz="8" w:space="0"/>
              <w:bottom w:val="single" w:color="000000" w:sz="8" w:space="0"/>
              <w:right w:val="single" w:color="000000" w:sz="8" w:space="0"/>
            </w:tcBorders>
            <w:shd w:val="clear" w:color="auto" w:fill="auto"/>
            <w:vAlign w:val="center"/>
          </w:tcPr>
          <w:p w14:paraId="54437FAB"/>
        </w:tc>
        <w:tc>
          <w:tcPr>
            <w:tcW w:w="277" w:type="pct"/>
            <w:vMerge w:val="continue"/>
            <w:tcBorders>
              <w:top w:val="nil"/>
              <w:left w:val="single" w:color="000000" w:sz="8" w:space="0"/>
              <w:bottom w:val="single" w:color="000000" w:sz="8" w:space="0"/>
              <w:right w:val="single" w:color="000000" w:sz="8" w:space="0"/>
            </w:tcBorders>
            <w:shd w:val="clear" w:color="auto" w:fill="auto"/>
            <w:vAlign w:val="center"/>
          </w:tcPr>
          <w:p w14:paraId="16F7B1A0"/>
        </w:tc>
        <w:tc>
          <w:tcPr>
            <w:tcW w:w="453" w:type="pct"/>
            <w:vMerge w:val="continue"/>
            <w:tcBorders>
              <w:top w:val="nil"/>
              <w:left w:val="single" w:color="000000" w:sz="8" w:space="0"/>
              <w:bottom w:val="single" w:color="000000" w:sz="8" w:space="0"/>
              <w:right w:val="single" w:color="000000" w:sz="8" w:space="0"/>
            </w:tcBorders>
            <w:shd w:val="clear" w:color="auto" w:fill="auto"/>
            <w:vAlign w:val="center"/>
          </w:tcPr>
          <w:p w14:paraId="01969FC2"/>
        </w:tc>
        <w:tc>
          <w:tcPr>
            <w:tcW w:w="4041" w:type="pct"/>
            <w:tcBorders>
              <w:top w:val="nil"/>
              <w:left w:val="single" w:color="000000" w:sz="8" w:space="0"/>
              <w:bottom w:val="single" w:color="000000" w:sz="8" w:space="0"/>
              <w:right w:val="single" w:color="000000" w:sz="8" w:space="0"/>
            </w:tcBorders>
            <w:shd w:val="clear" w:color="auto" w:fill="auto"/>
            <w:vAlign w:val="center"/>
          </w:tcPr>
          <w:p w14:paraId="2CDC7A49">
            <w:pPr>
              <w:keepNext w:val="0"/>
              <w:keepLines w:val="0"/>
              <w:widowControl/>
              <w:suppressLineNumbers w:val="0"/>
              <w:jc w:val="left"/>
              <w:textAlignment w:val="center"/>
              <w:rPr>
                <w:rFonts w:hint="eastAsia" w:ascii="宋体" w:eastAsia="宋体" w:cs="宋体"/>
                <w:i w:val="0"/>
                <w:iCs w:val="0"/>
                <w:color w:val="000000"/>
                <w:sz w:val="21"/>
                <w:szCs w:val="21"/>
                <w:u w:val="none"/>
              </w:rPr>
            </w:pPr>
            <w:r>
              <w:rPr>
                <w:rFonts w:hint="eastAsia" w:ascii="宋体" w:eastAsia="宋体" w:cs="宋体"/>
                <w:i w:val="0"/>
                <w:iCs w:val="0"/>
                <w:color w:val="000000"/>
                <w:kern w:val="0"/>
                <w:sz w:val="21"/>
                <w:szCs w:val="21"/>
                <w:u w:val="none"/>
                <w:lang w:val="en-US" w:eastAsia="zh-CN"/>
              </w:rPr>
              <w:t>③突发情况应急工作预案描述了详细情况，有针对性且参考性强，充分满足项目服务要求的，在</w:t>
            </w:r>
            <w:r>
              <w:rPr>
                <w:rStyle w:val="26"/>
                <w:rFonts w:eastAsia="宋体"/>
                <w:lang w:val="en-US" w:eastAsia="zh-CN"/>
              </w:rPr>
              <w:t>4-5</w:t>
            </w:r>
            <w:r>
              <w:rPr>
                <w:rStyle w:val="27"/>
                <w:lang w:val="en-US" w:eastAsia="zh-CN"/>
              </w:rPr>
              <w:t>（含）之间打分。本项最高</w:t>
            </w:r>
            <w:r>
              <w:rPr>
                <w:rStyle w:val="26"/>
                <w:rFonts w:eastAsia="宋体"/>
                <w:lang w:val="en-US" w:eastAsia="zh-CN"/>
              </w:rPr>
              <w:t>5</w:t>
            </w:r>
            <w:r>
              <w:rPr>
                <w:rStyle w:val="27"/>
                <w:lang w:val="en-US" w:eastAsia="zh-CN"/>
              </w:rPr>
              <w:t>分，缺项不得分。</w:t>
            </w:r>
          </w:p>
        </w:tc>
      </w:tr>
    </w:tbl>
    <w:p w14:paraId="78F37891">
      <w:pPr>
        <w:rPr>
          <w:lang w:val="en-US" w:eastAsia="zh-CN"/>
        </w:rPr>
      </w:pPr>
    </w:p>
    <w:sectPr>
      <w:footerReference r:id="rId3" w:type="default"/>
      <w:pgSz w:w="16838" w:h="11906" w:orient="landscape"/>
      <w:pgMar w:top="1800" w:right="1440" w:bottom="180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xi San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F093">
    <w:pPr>
      <w:pStyle w:val="9"/>
      <w:jc w:val="center"/>
    </w:pPr>
    <w:r>
      <w:fldChar w:fldCharType="begin"/>
    </w:r>
    <w:r>
      <w:instrText xml:space="preserve">PAGE   \* MERGEFORMAT</w:instrText>
    </w:r>
    <w:r>
      <w:fldChar w:fldCharType="separate"/>
    </w:r>
    <w:r>
      <w:rPr>
        <w:lang w:val="zh-CN"/>
      </w:rPr>
      <w:t>7</w:t>
    </w:r>
    <w:r>
      <w:fldChar w:fldCharType="end"/>
    </w:r>
  </w:p>
  <w:p w14:paraId="28A0B96C">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pStyle w:val="2"/>
      <w:lvlText w:val="%1、"/>
      <w:legacy w:legacy="1" w:legacySpace="0" w:legacyIndent="420"/>
      <w:lvlJc w:val="left"/>
      <w:pPr>
        <w:ind w:left="1020" w:hanging="420"/>
      </w:pPr>
    </w:lvl>
    <w:lvl w:ilvl="1" w:tentative="0">
      <w:start w:val="1"/>
      <w:numFmt w:val="lowerLetter"/>
      <w:lvlText w:val="%2)"/>
      <w:legacy w:legacy="1" w:legacySpace="0" w:legacyIndent="420"/>
      <w:lvlJc w:val="left"/>
      <w:pPr>
        <w:ind w:left="1440" w:hanging="420"/>
      </w:pPr>
    </w:lvl>
    <w:lvl w:ilvl="2" w:tentative="0">
      <w:start w:val="1"/>
      <w:numFmt w:val="lowerRoman"/>
      <w:lvlText w:val="%3."/>
      <w:legacy w:legacy="1" w:legacySpace="0" w:legacyIndent="420"/>
      <w:lvlJc w:val="right"/>
      <w:pPr>
        <w:ind w:left="1860" w:hanging="420"/>
      </w:pPr>
    </w:lvl>
    <w:lvl w:ilvl="3" w:tentative="0">
      <w:start w:val="1"/>
      <w:numFmt w:val="decimal"/>
      <w:lvlText w:val="%4."/>
      <w:legacy w:legacy="1" w:legacySpace="0" w:legacyIndent="420"/>
      <w:lvlJc w:val="left"/>
      <w:pPr>
        <w:ind w:left="2280" w:hanging="420"/>
      </w:pPr>
    </w:lvl>
    <w:lvl w:ilvl="4" w:tentative="0">
      <w:start w:val="1"/>
      <w:numFmt w:val="lowerLetter"/>
      <w:lvlText w:val="%5)"/>
      <w:legacy w:legacy="1" w:legacySpace="0" w:legacyIndent="420"/>
      <w:lvlJc w:val="left"/>
      <w:pPr>
        <w:ind w:left="2700" w:hanging="420"/>
      </w:pPr>
    </w:lvl>
    <w:lvl w:ilvl="5" w:tentative="0">
      <w:start w:val="1"/>
      <w:numFmt w:val="lowerRoman"/>
      <w:lvlText w:val="%6."/>
      <w:legacy w:legacy="1" w:legacySpace="0" w:legacyIndent="420"/>
      <w:lvlJc w:val="right"/>
      <w:pPr>
        <w:ind w:left="3120" w:hanging="420"/>
      </w:pPr>
    </w:lvl>
    <w:lvl w:ilvl="6" w:tentative="0">
      <w:start w:val="1"/>
      <w:numFmt w:val="decimal"/>
      <w:lvlText w:val="%7."/>
      <w:legacy w:legacy="1" w:legacySpace="0" w:legacyIndent="420"/>
      <w:lvlJc w:val="left"/>
      <w:pPr>
        <w:ind w:left="3540" w:hanging="420"/>
      </w:pPr>
    </w:lvl>
    <w:lvl w:ilvl="7" w:tentative="0">
      <w:start w:val="1"/>
      <w:numFmt w:val="lowerLetter"/>
      <w:lvlText w:val="%8)"/>
      <w:legacy w:legacy="1" w:legacySpace="0" w:legacyIndent="420"/>
      <w:lvlJc w:val="left"/>
      <w:pPr>
        <w:ind w:left="3960" w:hanging="420"/>
      </w:pPr>
    </w:lvl>
    <w:lvl w:ilvl="8" w:tentative="0">
      <w:start w:val="1"/>
      <w:numFmt w:val="lowerRoman"/>
      <w:lvlText w:val="%9."/>
      <w:legacy w:legacy="1" w:legacySpace="0" w:legacyIndent="420"/>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099E231C"/>
    <w:rsid w:val="16B953D3"/>
    <w:rsid w:val="19767855"/>
    <w:rsid w:val="2D690744"/>
    <w:rsid w:val="315D7742"/>
    <w:rsid w:val="38853EB5"/>
    <w:rsid w:val="43C27FD1"/>
    <w:rsid w:val="456D4EF4"/>
    <w:rsid w:val="53CC6C4A"/>
    <w:rsid w:val="54870CC5"/>
    <w:rsid w:val="5B191B02"/>
    <w:rsid w:val="6305463C"/>
    <w:rsid w:val="68307350"/>
    <w:rsid w:val="693115D2"/>
    <w:rsid w:val="7C1547FF"/>
    <w:rsid w:val="7D9B1948"/>
    <w:rsid w:val="7DEC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3"/>
    <w:next w:val="1"/>
    <w:qFormat/>
    <w:uiPriority w:val="0"/>
    <w:pPr>
      <w:numPr>
        <w:ilvl w:val="0"/>
        <w:numId w:val="1"/>
      </w:numPr>
      <w:tabs>
        <w:tab w:val="left" w:pos="1418"/>
      </w:tabs>
      <w:spacing w:line="360" w:lineRule="auto"/>
      <w:ind w:left="0" w:firstLine="200" w:firstLineChars="0"/>
      <w:outlineLvl w:val="0"/>
    </w:pPr>
    <w:rPr>
      <w:rFonts w:ascii="Times New Roman" w:hAnsi="Times New Roman" w:eastAsia="黑体" w:cs="Times New Roman"/>
      <w:b/>
      <w:sz w:val="30"/>
      <w:szCs w:val="21"/>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List Paragraph"/>
    <w:basedOn w:val="1"/>
    <w:qFormat/>
    <w:uiPriority w:val="0"/>
    <w:pPr>
      <w:ind w:firstLine="200" w:firstLineChars="200"/>
    </w:pPr>
  </w:style>
  <w:style w:type="paragraph" w:styleId="6">
    <w:name w:val="annotation text"/>
    <w:basedOn w:val="1"/>
    <w:qFormat/>
    <w:uiPriority w:val="0"/>
    <w:pPr>
      <w:jc w:val="left"/>
    </w:p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styleId="12">
    <w:name w:val="Title"/>
    <w:basedOn w:val="1"/>
    <w:next w:val="1"/>
    <w:qFormat/>
    <w:uiPriority w:val="0"/>
    <w:pPr>
      <w:spacing w:before="50" w:beforeLines="50" w:after="50" w:afterLines="50" w:line="360" w:lineRule="auto"/>
      <w:jc w:val="center"/>
      <w:outlineLvl w:val="0"/>
    </w:pPr>
    <w:rPr>
      <w:rFonts w:ascii="Times New Roman" w:hAnsi="Times New Roman" w:eastAsia="黑体" w:cs="宋体"/>
      <w:b/>
      <w:bCs/>
      <w:sz w:val="36"/>
      <w:szCs w:val="32"/>
    </w:rPr>
  </w:style>
  <w:style w:type="paragraph" w:styleId="13">
    <w:name w:val="annotation subject"/>
    <w:basedOn w:val="6"/>
    <w:next w:val="6"/>
    <w:qFormat/>
    <w:uiPriority w:val="0"/>
    <w:rPr>
      <w:b/>
      <w:bCs/>
    </w:r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无间隔1"/>
    <w:qFormat/>
    <w:uiPriority w:val="0"/>
    <w:rPr>
      <w:rFonts w:ascii="Calibri" w:hAnsi="Calibri" w:eastAsia="宋体" w:cs="Times New Roman"/>
      <w:sz w:val="22"/>
      <w:szCs w:val="22"/>
      <w:lang w:val="en-US" w:eastAsia="zh-CN" w:bidi="ar-SA"/>
    </w:rPr>
  </w:style>
  <w:style w:type="character" w:customStyle="1" w:styleId="21">
    <w:name w:val="apple-converted-space"/>
    <w:basedOn w:val="15"/>
    <w:qFormat/>
    <w:uiPriority w:val="0"/>
  </w:style>
  <w:style w:type="paragraph" w:customStyle="1" w:styleId="22">
    <w:name w:val="修订1"/>
    <w:qFormat/>
    <w:uiPriority w:val="0"/>
    <w:rPr>
      <w:rFonts w:ascii="Calibri" w:hAnsi="Calibri" w:eastAsia="宋体" w:cs="宋体"/>
      <w:kern w:val="2"/>
      <w:sz w:val="21"/>
      <w:szCs w:val="22"/>
      <w:lang w:val="en-US" w:eastAsia="zh-CN" w:bidi="ar-SA"/>
    </w:rPr>
  </w:style>
  <w:style w:type="paragraph" w:customStyle="1" w:styleId="23">
    <w:name w:val="Char"/>
    <w:basedOn w:val="1"/>
    <w:qFormat/>
    <w:uiPriority w:val="0"/>
    <w:rPr>
      <w:rFonts w:ascii="Times New Roman" w:hAnsi="Times New Roman" w:eastAsia="仿宋_GB2312" w:cs="Times New Roman"/>
      <w:sz w:val="28"/>
      <w:szCs w:val="24"/>
    </w:rPr>
  </w:style>
  <w:style w:type="paragraph" w:customStyle="1" w:styleId="24">
    <w:name w:val="列表段落1"/>
    <w:basedOn w:val="1"/>
    <w:qFormat/>
    <w:uiPriority w:val="0"/>
    <w:pPr>
      <w:ind w:firstLine="200" w:firstLineChars="200"/>
    </w:pPr>
    <w:rPr>
      <w:rFonts w:ascii="Times New Roman" w:hAnsi="Times New Roman" w:eastAsia="宋体" w:cs="Times New Roman"/>
      <w:szCs w:val="20"/>
    </w:rPr>
  </w:style>
  <w:style w:type="paragraph" w:customStyle="1" w:styleId="25">
    <w:name w:val="附件"/>
    <w:basedOn w:val="1"/>
    <w:next w:val="1"/>
    <w:qFormat/>
    <w:uiPriority w:val="0"/>
    <w:pPr>
      <w:spacing w:line="360" w:lineRule="auto"/>
    </w:pPr>
    <w:rPr>
      <w:rFonts w:ascii="Times New Roman" w:hAnsi="Times New Roman" w:eastAsia="黑体"/>
      <w:sz w:val="30"/>
      <w:szCs w:val="21"/>
    </w:rPr>
  </w:style>
  <w:style w:type="character" w:customStyle="1" w:styleId="26">
    <w:name w:val="font21"/>
    <w:basedOn w:val="15"/>
    <w:qFormat/>
    <w:uiPriority w:val="0"/>
    <w:rPr>
      <w:rFonts w:ascii="Times New Roman" w:hAnsi="Times New Roman" w:cs="Times New Roman"/>
      <w:color w:val="000000"/>
      <w:sz w:val="21"/>
      <w:szCs w:val="21"/>
      <w:u w:val="none"/>
    </w:rPr>
  </w:style>
  <w:style w:type="character" w:customStyle="1" w:styleId="27">
    <w:name w:val="font31"/>
    <w:basedOn w:val="15"/>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3303</Words>
  <Characters>3709</Characters>
  <Lines>273</Lines>
  <Paragraphs>153</Paragraphs>
  <TotalTime>54</TotalTime>
  <ScaleCrop>false</ScaleCrop>
  <LinksUpToDate>false</LinksUpToDate>
  <CharactersWithSpaces>3890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2025-07-29T03:38:00Z</dcterms:created>
  <dc:creator>Lenovo</dc:creator>
  <cp:lastModifiedBy>胖大猫</cp:lastModifiedBy>
  <dcterms:modified xsi:type="dcterms:W3CDTF">2025-07-30T09:14:27Z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eyJoZGlkIjoiZTE2ZTI0ZjBlOTkzOTk2YTYyZWRlMTcwM2M4ZGRhZmQiLCJ1c2VySWQiOiIzMTIzMDAwNzQifQ==</vt:lpwstr>
  </property>
  <property fmtid="{D5CDD505-2E9C-101B-9397-08002B2CF9AE}" pid="3" name="KSOProductBuildVer">
    <vt:lpwstr>2052-12.1.0.21171</vt:lpwstr>
  </property>
  <property fmtid="{D5CDD505-2E9C-101B-9397-08002B2CF9AE}" pid="4" name="ICV">
    <vt:lpwstr>980071999F59455F8E80E5602EE17B9A_13</vt:lpwstr>
  </property>
</Properties>
</file>