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D9A69">
      <w:pPr>
        <w:pStyle w:val="5"/>
        <w:widowControl/>
        <w:spacing w:beforeAutospacing="0" w:afterAutospacing="0"/>
        <w:jc w:val="center"/>
        <w:rPr>
          <w:rFonts w:hint="default" w:ascii="宋体" w:hAnsi="宋体"/>
          <w:b/>
          <w:color w:val="auto"/>
          <w:kern w:val="2"/>
          <w:sz w:val="28"/>
          <w:szCs w:val="28"/>
          <w:highlight w:val="none"/>
          <w:lang w:val="en-US"/>
        </w:rPr>
      </w:pPr>
      <w:r>
        <w:rPr>
          <w:rFonts w:hint="eastAsia" w:ascii="宋体" w:hAnsi="宋体" w:eastAsia="宋体" w:cs="宋体"/>
          <w:b/>
          <w:color w:val="auto"/>
          <w:sz w:val="28"/>
          <w:szCs w:val="28"/>
          <w:highlight w:val="none"/>
          <w:lang w:eastAsia="zh-CN"/>
        </w:rPr>
        <w:t>生态环境部南京环境科学研究所综合运动场馆改造建设</w:t>
      </w:r>
      <w:r>
        <w:rPr>
          <w:rFonts w:hint="eastAsia" w:ascii="宋体" w:hAnsi="宋体" w:cs="宋体"/>
          <w:b/>
          <w:color w:val="auto"/>
          <w:sz w:val="28"/>
          <w:szCs w:val="28"/>
          <w:highlight w:val="none"/>
          <w:lang w:val="en-US" w:eastAsia="zh-CN"/>
        </w:rPr>
        <w:t>项目</w:t>
      </w:r>
    </w:p>
    <w:p w14:paraId="6120F046">
      <w:pPr>
        <w:pStyle w:val="5"/>
        <w:widowControl/>
        <w:spacing w:beforeAutospacing="0" w:afterAutospacing="0"/>
        <w:jc w:val="center"/>
        <w:rPr>
          <w:rFonts w:ascii="宋体" w:hAnsi="宋体" w:cs="宋体"/>
          <w:b/>
          <w:color w:val="auto"/>
          <w:sz w:val="28"/>
          <w:szCs w:val="28"/>
          <w:highlight w:val="none"/>
        </w:rPr>
      </w:pPr>
      <w:r>
        <w:rPr>
          <w:rFonts w:hint="eastAsia" w:ascii="宋体" w:hAnsi="宋体" w:cs="宋体"/>
          <w:b/>
          <w:color w:val="auto"/>
          <w:sz w:val="28"/>
          <w:szCs w:val="28"/>
          <w:highlight w:val="none"/>
        </w:rPr>
        <w:t>清单编制说明</w:t>
      </w:r>
    </w:p>
    <w:p w14:paraId="0137DDAF">
      <w:pPr>
        <w:spacing w:line="300" w:lineRule="auto"/>
        <w:jc w:val="left"/>
        <w:rPr>
          <w:rFonts w:ascii="宋体" w:hAnsi="宋体"/>
          <w:b/>
          <w:bCs/>
          <w:color w:val="auto"/>
          <w:sz w:val="24"/>
          <w:highlight w:val="none"/>
        </w:rPr>
      </w:pPr>
    </w:p>
    <w:p w14:paraId="28121917">
      <w:pPr>
        <w:spacing w:line="360" w:lineRule="auto"/>
        <w:jc w:val="left"/>
        <w:rPr>
          <w:rFonts w:ascii="宋体" w:hAnsi="宋体"/>
          <w:b/>
          <w:bCs/>
          <w:color w:val="auto"/>
          <w:sz w:val="24"/>
          <w:highlight w:val="none"/>
        </w:rPr>
      </w:pPr>
      <w:r>
        <w:rPr>
          <w:rFonts w:hint="eastAsia" w:ascii="宋体" w:hAnsi="宋体"/>
          <w:b/>
          <w:bCs/>
          <w:color w:val="auto"/>
          <w:sz w:val="24"/>
          <w:highlight w:val="none"/>
        </w:rPr>
        <w:t>一、工程概况：</w:t>
      </w:r>
    </w:p>
    <w:p w14:paraId="6C16DF37">
      <w:pPr>
        <w:pStyle w:val="5"/>
        <w:widowControl/>
        <w:spacing w:beforeAutospacing="0" w:afterAutospacing="0"/>
        <w:jc w:val="both"/>
        <w:rPr>
          <w:rFonts w:ascii="宋体" w:hAnsi="宋体"/>
          <w:bCs/>
          <w:color w:val="auto"/>
          <w:kern w:val="2"/>
          <w:highlight w:val="none"/>
        </w:rPr>
      </w:pPr>
      <w:r>
        <w:rPr>
          <w:rFonts w:hint="eastAsia" w:ascii="宋体" w:hAnsi="宋体"/>
          <w:bCs/>
          <w:color w:val="auto"/>
          <w:kern w:val="2"/>
          <w:highlight w:val="none"/>
        </w:rPr>
        <w:t>本工程为</w:t>
      </w:r>
      <w:r>
        <w:rPr>
          <w:rFonts w:hint="eastAsia" w:ascii="宋体" w:hAnsi="宋体" w:eastAsia="宋体"/>
          <w:bCs/>
          <w:color w:val="auto"/>
          <w:kern w:val="2"/>
          <w:highlight w:val="none"/>
          <w:lang w:eastAsia="zh-CN"/>
        </w:rPr>
        <w:t>生态环境部南京环境科学研究所综合运动场馆改造建设</w:t>
      </w:r>
      <w:r>
        <w:rPr>
          <w:rFonts w:hint="eastAsia" w:ascii="宋体" w:hAnsi="宋体"/>
          <w:bCs/>
          <w:color w:val="auto"/>
          <w:kern w:val="2"/>
          <w:highlight w:val="none"/>
          <w:lang w:val="en-US" w:eastAsia="zh-CN"/>
        </w:rPr>
        <w:t>项目</w:t>
      </w:r>
      <w:r>
        <w:rPr>
          <w:rFonts w:hint="eastAsia" w:ascii="宋体" w:hAnsi="宋体"/>
          <w:bCs/>
          <w:color w:val="auto"/>
          <w:kern w:val="2"/>
          <w:highlight w:val="none"/>
        </w:rPr>
        <w:t>，地址位于</w:t>
      </w:r>
      <w:r>
        <w:rPr>
          <w:rFonts w:hint="eastAsia" w:ascii="宋体" w:hAnsi="宋体" w:eastAsia="宋体"/>
          <w:bCs/>
          <w:color w:val="auto"/>
          <w:kern w:val="2"/>
          <w:highlight w:val="none"/>
          <w:lang w:val="en-US" w:eastAsia="zh-CN"/>
        </w:rPr>
        <w:t>江苏省南京市玄武区蒋王庙街8号</w:t>
      </w:r>
      <w:r>
        <w:rPr>
          <w:rFonts w:hint="eastAsia" w:ascii="宋体" w:hAnsi="宋体"/>
          <w:bCs/>
          <w:color w:val="auto"/>
          <w:kern w:val="2"/>
          <w:highlight w:val="none"/>
        </w:rPr>
        <w:t>。</w:t>
      </w:r>
    </w:p>
    <w:p w14:paraId="409F05D3">
      <w:pPr>
        <w:pStyle w:val="2"/>
        <w:numPr>
          <w:ilvl w:val="0"/>
          <w:numId w:val="1"/>
        </w:numPr>
        <w:spacing w:line="360" w:lineRule="auto"/>
        <w:jc w:val="left"/>
        <w:rPr>
          <w:rFonts w:ascii="宋体" w:hAnsi="宋体" w:eastAsia="宋体"/>
          <w:b/>
          <w:bCs/>
          <w:color w:val="auto"/>
          <w:highlight w:val="none"/>
        </w:rPr>
      </w:pPr>
      <w:r>
        <w:rPr>
          <w:rFonts w:hint="eastAsia" w:ascii="宋体" w:hAnsi="宋体" w:eastAsia="宋体"/>
          <w:b/>
          <w:bCs/>
          <w:color w:val="auto"/>
          <w:highlight w:val="none"/>
        </w:rPr>
        <w:t>编制范围、内容及界面：</w:t>
      </w:r>
    </w:p>
    <w:p w14:paraId="04F1A32C">
      <w:pPr>
        <w:tabs>
          <w:tab w:val="left" w:pos="720"/>
        </w:tabs>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羽毛球场馆</w:t>
      </w:r>
      <w:r>
        <w:rPr>
          <w:rFonts w:hint="eastAsia" w:ascii="宋体" w:hAnsi="宋体"/>
          <w:bCs/>
          <w:color w:val="auto"/>
          <w:sz w:val="24"/>
          <w:highlight w:val="none"/>
        </w:rPr>
        <w:t>范围包括</w:t>
      </w:r>
      <w:r>
        <w:rPr>
          <w:rFonts w:hint="eastAsia" w:ascii="宋体" w:hAnsi="宋体"/>
          <w:bCs/>
          <w:color w:val="auto"/>
          <w:sz w:val="24"/>
          <w:highlight w:val="none"/>
          <w:lang w:val="en-US" w:eastAsia="zh-CN"/>
        </w:rPr>
        <w:t>场地开挖，基础浇筑，篷房搭建，机电照明设施安装等；</w:t>
      </w:r>
    </w:p>
    <w:p w14:paraId="068CB879">
      <w:pPr>
        <w:tabs>
          <w:tab w:val="left" w:pos="720"/>
        </w:tabs>
        <w:spacing w:line="360" w:lineRule="auto"/>
        <w:ind w:firstLine="480" w:firstLineChars="200"/>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健身场馆范围包括，淋浴间改造，健身区出新，地面铺设材料，顶面灯具更换等。</w:t>
      </w:r>
    </w:p>
    <w:p w14:paraId="56493161">
      <w:pPr>
        <w:spacing w:line="360" w:lineRule="auto"/>
        <w:jc w:val="left"/>
        <w:rPr>
          <w:rFonts w:ascii="宋体" w:hAnsi="宋体"/>
          <w:b/>
          <w:bCs/>
          <w:color w:val="auto"/>
          <w:sz w:val="24"/>
          <w:highlight w:val="none"/>
        </w:rPr>
      </w:pPr>
      <w:r>
        <w:rPr>
          <w:rFonts w:hint="eastAsia" w:ascii="宋体" w:hAnsi="宋体"/>
          <w:b/>
          <w:bCs/>
          <w:color w:val="auto"/>
          <w:sz w:val="24"/>
          <w:highlight w:val="none"/>
        </w:rPr>
        <w:t>三、招标控制价编制依据：</w:t>
      </w:r>
    </w:p>
    <w:p w14:paraId="0A2D2304">
      <w:pPr>
        <w:tabs>
          <w:tab w:val="left" w:pos="720"/>
        </w:tabs>
        <w:spacing w:line="360" w:lineRule="auto"/>
        <w:ind w:firstLine="540" w:firstLineChars="225"/>
        <w:rPr>
          <w:rFonts w:ascii="宋体" w:hAnsi="宋体"/>
          <w:bCs/>
          <w:color w:val="auto"/>
          <w:sz w:val="24"/>
          <w:highlight w:val="none"/>
        </w:rPr>
      </w:pPr>
      <w:r>
        <w:rPr>
          <w:rFonts w:hint="eastAsia" w:ascii="宋体" w:hAnsi="宋体"/>
          <w:bCs/>
          <w:color w:val="auto"/>
          <w:sz w:val="24"/>
          <w:highlight w:val="none"/>
        </w:rPr>
        <w:t>1.《建设工程工程量清单计价规范》</w:t>
      </w:r>
      <w:r>
        <w:rPr>
          <w:rFonts w:ascii="宋体" w:hAnsi="宋体"/>
          <w:bCs/>
          <w:color w:val="auto"/>
          <w:sz w:val="24"/>
          <w:highlight w:val="none"/>
        </w:rPr>
        <w:t>GB50500-20</w:t>
      </w:r>
      <w:r>
        <w:rPr>
          <w:rFonts w:hint="eastAsia" w:ascii="宋体" w:hAnsi="宋体"/>
          <w:bCs/>
          <w:color w:val="auto"/>
          <w:sz w:val="24"/>
          <w:highlight w:val="none"/>
        </w:rPr>
        <w:t>13；</w:t>
      </w:r>
    </w:p>
    <w:p w14:paraId="1526ACBA">
      <w:pPr>
        <w:tabs>
          <w:tab w:val="left" w:pos="720"/>
        </w:tabs>
        <w:spacing w:line="360" w:lineRule="auto"/>
        <w:ind w:firstLine="540" w:firstLineChars="225"/>
        <w:rPr>
          <w:rFonts w:ascii="宋体" w:hAnsi="宋体"/>
          <w:bCs/>
          <w:color w:val="auto"/>
          <w:sz w:val="24"/>
          <w:highlight w:val="none"/>
        </w:rPr>
      </w:pPr>
      <w:r>
        <w:rPr>
          <w:rFonts w:hint="eastAsia" w:ascii="宋体" w:hAnsi="宋体"/>
          <w:bCs/>
          <w:color w:val="auto"/>
          <w:sz w:val="24"/>
          <w:highlight w:val="none"/>
        </w:rPr>
        <w:t>2.《江苏省建筑与装饰工程计价定额》（2014版）、《江苏省安装工程计价定额》（2014版）、《江苏省建设工程费用定额》（</w:t>
      </w:r>
      <w:r>
        <w:rPr>
          <w:rFonts w:ascii="宋体" w:hAnsi="宋体"/>
          <w:bCs/>
          <w:color w:val="auto"/>
          <w:sz w:val="24"/>
          <w:highlight w:val="none"/>
        </w:rPr>
        <w:t>20</w:t>
      </w:r>
      <w:r>
        <w:rPr>
          <w:rFonts w:hint="eastAsia" w:ascii="宋体" w:hAnsi="宋体"/>
          <w:bCs/>
          <w:color w:val="auto"/>
          <w:sz w:val="24"/>
          <w:highlight w:val="none"/>
        </w:rPr>
        <w:t>14年）；</w:t>
      </w:r>
    </w:p>
    <w:p w14:paraId="0EA4F9CA">
      <w:pPr>
        <w:tabs>
          <w:tab w:val="left" w:pos="720"/>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3.《省住房城乡建设厅关于调整建设工程计价增值税税率的通知》及苏建函价</w:t>
      </w:r>
      <w:r>
        <w:rPr>
          <w:rFonts w:ascii="宋体" w:hAnsi="宋体"/>
          <w:bCs/>
          <w:color w:val="auto"/>
          <w:sz w:val="24"/>
          <w:highlight w:val="none"/>
        </w:rPr>
        <w:t>〔</w:t>
      </w:r>
      <w:r>
        <w:rPr>
          <w:rFonts w:hint="eastAsia" w:ascii="宋体" w:hAnsi="宋体"/>
          <w:bCs/>
          <w:color w:val="auto"/>
          <w:sz w:val="24"/>
          <w:highlight w:val="none"/>
        </w:rPr>
        <w:t>2022</w:t>
      </w:r>
      <w:r>
        <w:rPr>
          <w:rFonts w:ascii="宋体" w:hAnsi="宋体"/>
          <w:bCs/>
          <w:color w:val="auto"/>
          <w:sz w:val="24"/>
          <w:highlight w:val="none"/>
        </w:rPr>
        <w:t>〕</w:t>
      </w:r>
      <w:r>
        <w:rPr>
          <w:rFonts w:hint="eastAsia" w:ascii="宋体" w:hAnsi="宋体"/>
          <w:bCs/>
          <w:color w:val="auto"/>
          <w:sz w:val="24"/>
          <w:highlight w:val="none"/>
        </w:rPr>
        <w:t>379</w:t>
      </w:r>
      <w:r>
        <w:rPr>
          <w:rFonts w:ascii="宋体" w:hAnsi="宋体"/>
          <w:bCs/>
          <w:color w:val="auto"/>
          <w:sz w:val="24"/>
          <w:highlight w:val="none"/>
        </w:rPr>
        <w:t>号</w:t>
      </w:r>
      <w:r>
        <w:rPr>
          <w:rFonts w:hint="eastAsia" w:ascii="宋体" w:hAnsi="宋体"/>
          <w:bCs/>
          <w:color w:val="auto"/>
          <w:sz w:val="24"/>
          <w:highlight w:val="none"/>
        </w:rPr>
        <w:t>文；</w:t>
      </w:r>
    </w:p>
    <w:p w14:paraId="23DE6EAD">
      <w:pPr>
        <w:tabs>
          <w:tab w:val="left" w:pos="720"/>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.与建设项目相关的标准、规范、技术资料；</w:t>
      </w:r>
    </w:p>
    <w:p w14:paraId="793121B2">
      <w:pPr>
        <w:tabs>
          <w:tab w:val="left" w:pos="720"/>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.施工现场情况、工程特点及常规施工方案；</w:t>
      </w:r>
    </w:p>
    <w:p w14:paraId="18BF4867">
      <w:pPr>
        <w:tabs>
          <w:tab w:val="left" w:pos="720"/>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.工程造价管理机构发布的工程造价信息；</w:t>
      </w:r>
    </w:p>
    <w:p w14:paraId="399F308E">
      <w:pPr>
        <w:tabs>
          <w:tab w:val="left" w:pos="720"/>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.其他相关资料。</w:t>
      </w:r>
    </w:p>
    <w:p w14:paraId="76AED7C4">
      <w:pPr>
        <w:spacing w:line="360" w:lineRule="auto"/>
        <w:jc w:val="left"/>
        <w:rPr>
          <w:rFonts w:ascii="宋体" w:hAnsi="宋体"/>
          <w:b/>
          <w:bCs/>
          <w:color w:val="auto"/>
          <w:sz w:val="24"/>
          <w:highlight w:val="none"/>
        </w:rPr>
      </w:pPr>
      <w:r>
        <w:rPr>
          <w:rFonts w:hint="eastAsia" w:ascii="宋体" w:hAnsi="宋体"/>
          <w:b/>
          <w:bCs/>
          <w:color w:val="auto"/>
          <w:sz w:val="24"/>
          <w:highlight w:val="none"/>
        </w:rPr>
        <w:t>四、有关计价、费用的说明：</w:t>
      </w:r>
    </w:p>
    <w:p w14:paraId="37667AF4">
      <w:pPr>
        <w:tabs>
          <w:tab w:val="left" w:pos="720"/>
        </w:tabs>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.本工程安全文明施工标化增加费按不创建省级、市级文明工地考虑；</w:t>
      </w:r>
    </w:p>
    <w:p w14:paraId="20B44D7D">
      <w:pPr>
        <w:tabs>
          <w:tab w:val="left" w:pos="720"/>
        </w:tabs>
        <w:spacing w:line="360" w:lineRule="auto"/>
        <w:ind w:firstLine="480" w:firstLineChars="20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.规费社会保险费按2.4%；住房公积金按0.42%；环境保护税按0.1%；税金按9%计取；安装按三类工程计取；</w:t>
      </w:r>
    </w:p>
    <w:p w14:paraId="4AA937D8">
      <w:pPr>
        <w:tabs>
          <w:tab w:val="left" w:pos="720"/>
        </w:tabs>
        <w:spacing w:line="360" w:lineRule="auto"/>
        <w:ind w:firstLine="480" w:firstLineChars="200"/>
        <w:rPr>
          <w:rFonts w:hint="default" w:ascii="宋体" w:hAnsi="宋体" w:eastAsia="宋体"/>
          <w:bCs/>
          <w:color w:val="auto"/>
          <w:sz w:val="24"/>
          <w:highlight w:val="none"/>
          <w:lang w:val="en-US" w:eastAsia="zh-CN"/>
        </w:rPr>
      </w:pPr>
      <w:r>
        <w:rPr>
          <w:rFonts w:ascii="宋体" w:hAnsi="宋体"/>
          <w:bCs/>
          <w:color w:val="auto"/>
          <w:sz w:val="24"/>
          <w:highlight w:val="none"/>
        </w:rPr>
        <w:t>3</w:t>
      </w:r>
      <w:r>
        <w:rPr>
          <w:rFonts w:hint="eastAsia" w:ascii="宋体" w:hAnsi="宋体"/>
          <w:bCs/>
          <w:color w:val="auto"/>
          <w:sz w:val="24"/>
          <w:highlight w:val="none"/>
        </w:rPr>
        <w:t>.总价措施费中的安全文明施工费按基本费土建按3.1%、装饰按1.7%、安装按1.5%；扬尘污染防治增加费土建按0.31%、装饰按0.22%、安装按0.21%；</w:t>
      </w:r>
    </w:p>
    <w:p w14:paraId="01ACB1CF">
      <w:pPr>
        <w:tabs>
          <w:tab w:val="left" w:pos="720"/>
        </w:tabs>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w:t>
      </w:r>
      <w:r>
        <w:rPr>
          <w:rFonts w:hint="eastAsia" w:ascii="宋体" w:hAnsi="宋体"/>
          <w:bCs/>
          <w:color w:val="auto"/>
          <w:sz w:val="24"/>
          <w:highlight w:val="none"/>
          <w:lang w:val="en-US" w:eastAsia="zh-CN"/>
        </w:rPr>
        <w:t>专业工程暂估价：10万元（此项为不可竞争费用）。</w:t>
      </w:r>
    </w:p>
    <w:p w14:paraId="3E538598">
      <w:pPr>
        <w:pStyle w:val="3"/>
        <w:rPr>
          <w:rFonts w:hint="eastAsia" w:ascii="宋体" w:hAnsi="宋体"/>
          <w:bCs/>
          <w:color w:val="auto"/>
          <w:sz w:val="24"/>
          <w:highlight w:val="none"/>
        </w:rPr>
      </w:pPr>
    </w:p>
    <w:p w14:paraId="079F5779">
      <w:pPr>
        <w:pStyle w:val="3"/>
        <w:rPr>
          <w:rFonts w:hint="eastAsia" w:ascii="宋体" w:hAnsi="宋体"/>
          <w:bCs/>
          <w:color w:val="auto"/>
          <w:sz w:val="24"/>
          <w:highlight w:val="none"/>
        </w:rPr>
      </w:pPr>
    </w:p>
    <w:p w14:paraId="4AF20EDF">
      <w:pPr>
        <w:pStyle w:val="3"/>
        <w:rPr>
          <w:rFonts w:hint="eastAsia" w:ascii="宋体" w:hAnsi="宋体"/>
          <w:bCs/>
          <w:color w:val="auto"/>
          <w:sz w:val="24"/>
          <w:highlight w:val="none"/>
        </w:rPr>
      </w:pPr>
    </w:p>
    <w:p w14:paraId="1B70894B">
      <w:pPr>
        <w:pStyle w:val="3"/>
        <w:rPr>
          <w:rFonts w:hint="eastAsia" w:ascii="宋体" w:hAnsi="宋体"/>
          <w:bCs/>
          <w:color w:val="auto"/>
          <w:sz w:val="24"/>
          <w:highlight w:val="none"/>
        </w:rPr>
      </w:pPr>
    </w:p>
    <w:p w14:paraId="609E0AAF">
      <w:pPr>
        <w:numPr>
          <w:ilvl w:val="0"/>
          <w:numId w:val="2"/>
        </w:numPr>
        <w:tabs>
          <w:tab w:val="left" w:pos="720"/>
        </w:tabs>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材料</w:t>
      </w:r>
      <w:r>
        <w:rPr>
          <w:rFonts w:hint="eastAsia" w:ascii="宋体" w:hAnsi="宋体" w:cs="宋体"/>
          <w:b/>
          <w:bCs/>
          <w:color w:val="auto"/>
          <w:sz w:val="24"/>
          <w:highlight w:val="none"/>
          <w:lang w:val="en-US" w:eastAsia="zh-CN"/>
        </w:rPr>
        <w:t>品牌</w:t>
      </w:r>
    </w:p>
    <w:p w14:paraId="3F7AE029">
      <w:pPr>
        <w:pStyle w:val="3"/>
        <w:numPr>
          <w:ilvl w:val="0"/>
          <w:numId w:val="0"/>
        </w:numPr>
        <w:ind w:right="33" w:rightChars="0"/>
        <w:rPr>
          <w:rFonts w:hint="eastAsia"/>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182"/>
        <w:gridCol w:w="2994"/>
        <w:gridCol w:w="2078"/>
      </w:tblGrid>
      <w:tr w14:paraId="01CA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9FECB86">
            <w:pPr>
              <w:pStyle w:val="6"/>
              <w:ind w:firstLine="1890" w:firstLineChars="900"/>
              <w:rPr>
                <w:rFonts w:hint="default" w:eastAsia="宋体"/>
                <w:color w:val="auto"/>
                <w:highlight w:val="none"/>
                <w:vertAlign w:val="baseline"/>
                <w:lang w:val="en-US" w:eastAsia="zh-CN"/>
              </w:rPr>
            </w:pPr>
            <w:r>
              <w:rPr>
                <w:rFonts w:hint="eastAsia" w:ascii="宋体" w:hAnsi="宋体" w:eastAsia="宋体"/>
                <w:bCs/>
                <w:color w:val="auto"/>
                <w:kern w:val="2"/>
                <w:highlight w:val="none"/>
                <w:lang w:eastAsia="zh-CN"/>
              </w:rPr>
              <w:t>南京环境科学研究所</w:t>
            </w:r>
            <w:r>
              <w:rPr>
                <w:rFonts w:hint="eastAsia" w:ascii="宋体" w:hAnsi="宋体" w:eastAsia="宋体"/>
                <w:bCs/>
                <w:color w:val="auto"/>
                <w:kern w:val="2"/>
                <w:highlight w:val="none"/>
                <w:lang w:val="en-US" w:eastAsia="zh-CN"/>
              </w:rPr>
              <w:t>综合运动场馆改造建设</w:t>
            </w:r>
            <w:r>
              <w:rPr>
                <w:rFonts w:hint="eastAsia" w:ascii="宋体" w:hAnsi="宋体"/>
                <w:bCs/>
                <w:color w:val="auto"/>
                <w:kern w:val="2"/>
                <w:highlight w:val="none"/>
                <w:lang w:val="en-US" w:eastAsia="zh-CN"/>
              </w:rPr>
              <w:t>主要</w:t>
            </w:r>
            <w:r>
              <w:rPr>
                <w:rFonts w:hint="eastAsia"/>
                <w:color w:val="auto"/>
                <w:highlight w:val="none"/>
                <w:vertAlign w:val="baseline"/>
                <w:lang w:val="en-US" w:eastAsia="zh-CN"/>
              </w:rPr>
              <w:t>品牌表</w:t>
            </w:r>
          </w:p>
        </w:tc>
      </w:tr>
      <w:tr w14:paraId="58E0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tcPr>
          <w:p w14:paraId="58C6DE36">
            <w:pPr>
              <w:pStyle w:val="6"/>
              <w:rPr>
                <w:rFonts w:hint="default" w:eastAsia="宋体"/>
                <w:color w:val="auto"/>
                <w:highlight w:val="none"/>
                <w:vertAlign w:val="baseline"/>
                <w:lang w:val="en-US" w:eastAsia="zh-CN"/>
              </w:rPr>
            </w:pPr>
            <w:r>
              <w:rPr>
                <w:rFonts w:hint="eastAsia"/>
                <w:color w:val="auto"/>
                <w:highlight w:val="none"/>
                <w:vertAlign w:val="baseline"/>
                <w:lang w:val="en-US" w:eastAsia="zh-CN"/>
              </w:rPr>
              <w:t>序号</w:t>
            </w:r>
          </w:p>
        </w:tc>
        <w:tc>
          <w:tcPr>
            <w:tcW w:w="2182" w:type="dxa"/>
          </w:tcPr>
          <w:p w14:paraId="32FD2EA3">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材料名称</w:t>
            </w:r>
          </w:p>
        </w:tc>
        <w:tc>
          <w:tcPr>
            <w:tcW w:w="2994" w:type="dxa"/>
          </w:tcPr>
          <w:p w14:paraId="43CABD73">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规格型号</w:t>
            </w:r>
          </w:p>
        </w:tc>
        <w:tc>
          <w:tcPr>
            <w:tcW w:w="2078" w:type="dxa"/>
          </w:tcPr>
          <w:p w14:paraId="4CB07E4F">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品牌</w:t>
            </w:r>
          </w:p>
        </w:tc>
      </w:tr>
      <w:tr w14:paraId="64E6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268" w:type="dxa"/>
          </w:tcPr>
          <w:p w14:paraId="78961E0E">
            <w:pPr>
              <w:pStyle w:val="6"/>
              <w:rPr>
                <w:rFonts w:hint="default" w:eastAsia="宋体"/>
                <w:color w:val="auto"/>
                <w:highlight w:val="none"/>
                <w:vertAlign w:val="baseline"/>
                <w:lang w:val="en-US" w:eastAsia="zh-CN"/>
              </w:rPr>
            </w:pPr>
            <w:r>
              <w:rPr>
                <w:rFonts w:hint="eastAsia"/>
                <w:color w:val="auto"/>
                <w:highlight w:val="none"/>
                <w:vertAlign w:val="baseline"/>
                <w:lang w:val="en-US" w:eastAsia="zh-CN"/>
              </w:rPr>
              <w:t>1</w:t>
            </w:r>
          </w:p>
        </w:tc>
        <w:tc>
          <w:tcPr>
            <w:tcW w:w="2182" w:type="dxa"/>
          </w:tcPr>
          <w:p w14:paraId="44F40675">
            <w:pPr>
              <w:pStyle w:val="6"/>
              <w:ind w:left="0" w:leftChars="0" w:firstLine="0" w:firstLineChars="0"/>
              <w:rPr>
                <w:rFonts w:hint="default" w:eastAsia="宋体"/>
                <w:color w:val="auto"/>
                <w:highlight w:val="none"/>
                <w:vertAlign w:val="baseline"/>
                <w:lang w:val="en-US" w:eastAsia="zh-CN"/>
              </w:rPr>
            </w:pPr>
            <w:r>
              <w:rPr>
                <w:rFonts w:hint="eastAsia"/>
                <w:color w:val="auto"/>
                <w:highlight w:val="none"/>
                <w:vertAlign w:val="baseline"/>
                <w:lang w:val="en-US" w:eastAsia="zh-CN"/>
              </w:rPr>
              <w:t>铝合金篷房</w:t>
            </w:r>
          </w:p>
        </w:tc>
        <w:tc>
          <w:tcPr>
            <w:tcW w:w="2994" w:type="dxa"/>
          </w:tcPr>
          <w:p w14:paraId="4C959BCB">
            <w:pPr>
              <w:keepNext w:val="0"/>
              <w:keepLines w:val="0"/>
              <w:widowControl/>
              <w:suppressLineNumbers w:val="0"/>
              <w:jc w:val="both"/>
              <w:textAlignment w:val="center"/>
              <w:rPr>
                <w:rFonts w:hint="eastAsia"/>
                <w:color w:val="auto"/>
                <w:highlight w:val="none"/>
                <w:vertAlign w:val="baseline"/>
                <w:lang w:val="en-US" w:eastAsia="zh-CN"/>
              </w:rPr>
            </w:pPr>
            <w:r>
              <w:rPr>
                <w:rFonts w:hint="default" w:ascii="宋体" w:hAnsi="宋体" w:eastAsia="宋体" w:cs="宋体"/>
                <w:b w:val="0"/>
                <w:bCs w:val="0"/>
                <w:i w:val="0"/>
                <w:iCs w:val="0"/>
                <w:color w:val="000000"/>
                <w:kern w:val="0"/>
                <w:sz w:val="21"/>
                <w:szCs w:val="21"/>
                <w:u w:val="none"/>
                <w:lang w:val="en-US" w:eastAsia="zh-CN" w:bidi="ar"/>
              </w:rPr>
              <w:t>铝合金牌号6061-t6</w:t>
            </w:r>
            <w:r>
              <w:rPr>
                <w:rFonts w:hint="eastAsia"/>
                <w:color w:val="auto"/>
                <w:highlight w:val="none"/>
                <w:vertAlign w:val="baseline"/>
                <w:lang w:val="en-US" w:eastAsia="zh-CN"/>
              </w:rPr>
              <w:t>航空铝；</w:t>
            </w:r>
          </w:p>
          <w:p w14:paraId="4048AFDE">
            <w:pPr>
              <w:keepNext w:val="0"/>
              <w:keepLines w:val="0"/>
              <w:widowControl/>
              <w:suppressLineNumbers w:val="0"/>
              <w:jc w:val="left"/>
            </w:pPr>
            <w:r>
              <w:rPr>
                <w:rFonts w:hint="eastAsia" w:ascii="宋体" w:hAnsi="宋体" w:eastAsia="宋体" w:cs="宋体"/>
                <w:color w:val="000000"/>
                <w:kern w:val="0"/>
                <w:sz w:val="19"/>
                <w:szCs w:val="19"/>
                <w:lang w:val="en-US" w:eastAsia="zh-CN" w:bidi="ar"/>
              </w:rPr>
              <w:t>篷布：顶布重量750克／平方米，（抗紫外线，不透光），透明围布重量900克／平方米 。</w:t>
            </w:r>
          </w:p>
          <w:p w14:paraId="790C20FE">
            <w:pPr>
              <w:pStyle w:val="6"/>
              <w:rPr>
                <w:rFonts w:hint="default"/>
                <w:color w:val="auto"/>
                <w:highlight w:val="none"/>
                <w:vertAlign w:val="baseline"/>
                <w:lang w:val="en-US" w:eastAsia="zh-CN"/>
              </w:rPr>
            </w:pPr>
          </w:p>
        </w:tc>
        <w:tc>
          <w:tcPr>
            <w:tcW w:w="2078" w:type="dxa"/>
          </w:tcPr>
          <w:p w14:paraId="733D7E1D">
            <w:pPr>
              <w:pStyle w:val="6"/>
              <w:ind w:left="0" w:leftChars="0" w:firstLine="0" w:firstLineChars="0"/>
              <w:rPr>
                <w:rFonts w:hint="default"/>
                <w:color w:val="auto"/>
                <w:highlight w:val="none"/>
                <w:vertAlign w:val="baseline"/>
                <w:lang w:val="en-US" w:eastAsia="zh-CN"/>
              </w:rPr>
            </w:pPr>
            <w:r>
              <w:rPr>
                <w:rFonts w:hint="default" w:eastAsia="宋体"/>
                <w:color w:val="auto"/>
                <w:highlight w:val="none"/>
                <w:vertAlign w:val="baseline"/>
                <w:lang w:val="en-US" w:eastAsia="zh-CN"/>
              </w:rPr>
              <w:t>联盛</w:t>
            </w:r>
            <w:r>
              <w:rPr>
                <w:rFonts w:hint="eastAsia"/>
                <w:color w:val="auto"/>
                <w:highlight w:val="none"/>
                <w:vertAlign w:val="baseline"/>
                <w:lang w:val="en-US" w:eastAsia="zh-CN"/>
              </w:rPr>
              <w:t>，</w:t>
            </w:r>
            <w:r>
              <w:rPr>
                <w:rFonts w:hint="default"/>
                <w:color w:val="auto"/>
                <w:highlight w:val="none"/>
                <w:vertAlign w:val="baseline"/>
                <w:lang w:val="en-US" w:eastAsia="zh-CN"/>
              </w:rPr>
              <w:t>麦斯特</w:t>
            </w:r>
            <w:r>
              <w:rPr>
                <w:rFonts w:hint="eastAsia"/>
                <w:color w:val="auto"/>
                <w:highlight w:val="none"/>
                <w:vertAlign w:val="baseline"/>
                <w:lang w:val="en-US" w:eastAsia="zh-CN"/>
              </w:rPr>
              <w:t>，速派‌</w:t>
            </w:r>
          </w:p>
          <w:p w14:paraId="0D221CAE">
            <w:pPr>
              <w:pStyle w:val="6"/>
              <w:ind w:left="0" w:leftChars="0" w:firstLine="0" w:firstLineChars="0"/>
              <w:rPr>
                <w:rFonts w:hint="default"/>
                <w:color w:val="auto"/>
                <w:highlight w:val="none"/>
                <w:vertAlign w:val="baseline"/>
                <w:lang w:val="en-US" w:eastAsia="zh-CN"/>
              </w:rPr>
            </w:pPr>
          </w:p>
        </w:tc>
      </w:tr>
      <w:tr w14:paraId="1700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tcPr>
          <w:p w14:paraId="083FF696">
            <w:pPr>
              <w:pStyle w:val="6"/>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2182" w:type="dxa"/>
          </w:tcPr>
          <w:p w14:paraId="38168A52">
            <w:pPr>
              <w:pStyle w:val="6"/>
              <w:ind w:left="0" w:leftChars="0" w:firstLine="0" w:firstLineChars="0"/>
              <w:rPr>
                <w:rFonts w:hint="default" w:eastAsia="宋体"/>
                <w:color w:val="auto"/>
                <w:highlight w:val="none"/>
                <w:vertAlign w:val="baseline"/>
                <w:lang w:val="en-US" w:eastAsia="zh-CN"/>
              </w:rPr>
            </w:pPr>
            <w:r>
              <w:rPr>
                <w:rFonts w:hint="eastAsia"/>
                <w:color w:val="auto"/>
                <w:highlight w:val="none"/>
                <w:vertAlign w:val="baseline"/>
                <w:lang w:val="en-US" w:eastAsia="zh-CN"/>
              </w:rPr>
              <w:t>羽毛球场运动地胶</w:t>
            </w:r>
          </w:p>
        </w:tc>
        <w:tc>
          <w:tcPr>
            <w:tcW w:w="2994" w:type="dxa"/>
          </w:tcPr>
          <w:p w14:paraId="3F8159AE">
            <w:pPr>
              <w:pStyle w:val="6"/>
              <w:rPr>
                <w:rFonts w:hint="default" w:eastAsia="宋体"/>
                <w:color w:val="auto"/>
                <w:highlight w:val="none"/>
                <w:vertAlign w:val="baseline"/>
                <w:lang w:val="en-US" w:eastAsia="zh-CN"/>
              </w:rPr>
            </w:pPr>
            <w:r>
              <w:rPr>
                <w:rFonts w:hint="eastAsia"/>
                <w:color w:val="auto"/>
                <w:highlight w:val="none"/>
                <w:vertAlign w:val="baseline"/>
                <w:lang w:val="en-US" w:eastAsia="zh-CN"/>
              </w:rPr>
              <w:t>厚度8mm</w:t>
            </w:r>
          </w:p>
        </w:tc>
        <w:tc>
          <w:tcPr>
            <w:tcW w:w="2078" w:type="dxa"/>
          </w:tcPr>
          <w:p w14:paraId="5CAC3F21">
            <w:pPr>
              <w:pStyle w:val="6"/>
              <w:ind w:left="0" w:leftChars="0" w:firstLine="0" w:firstLineChars="0"/>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博克</w:t>
            </w:r>
            <w:r>
              <w:rPr>
                <w:rFonts w:hint="eastAsia"/>
                <w:color w:val="auto"/>
                <w:highlight w:val="none"/>
                <w:vertAlign w:val="baseline"/>
                <w:lang w:val="en-US" w:eastAsia="zh-CN"/>
              </w:rPr>
              <w:t>，英利奥，优净龙</w:t>
            </w:r>
          </w:p>
        </w:tc>
      </w:tr>
      <w:tr w14:paraId="1F3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tcPr>
          <w:p w14:paraId="6FC4E9A8">
            <w:pPr>
              <w:pStyle w:val="6"/>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2182" w:type="dxa"/>
            <w:shd w:val="clear" w:color="auto" w:fill="auto"/>
            <w:vAlign w:val="top"/>
          </w:tcPr>
          <w:p w14:paraId="13FD3EC3">
            <w:pPr>
              <w:pStyle w:val="6"/>
              <w:ind w:left="0" w:leftChars="0" w:firstLine="0" w:firstLineChars="0"/>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健身场馆运动地胶</w:t>
            </w:r>
          </w:p>
        </w:tc>
        <w:tc>
          <w:tcPr>
            <w:tcW w:w="2994" w:type="dxa"/>
            <w:shd w:val="clear" w:color="auto" w:fill="auto"/>
            <w:vAlign w:val="top"/>
          </w:tcPr>
          <w:p w14:paraId="531748E4">
            <w:pPr>
              <w:pStyle w:val="6"/>
              <w:ind w:firstLine="420" w:firstLineChars="0"/>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厚度4.5mm</w:t>
            </w:r>
          </w:p>
        </w:tc>
        <w:tc>
          <w:tcPr>
            <w:tcW w:w="2078" w:type="dxa"/>
          </w:tcPr>
          <w:p w14:paraId="6713946B">
            <w:pPr>
              <w:pStyle w:val="6"/>
              <w:ind w:left="0" w:leftChars="0" w:firstLine="0" w:firstLineChars="0"/>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博克</w:t>
            </w:r>
            <w:r>
              <w:rPr>
                <w:rFonts w:hint="eastAsia"/>
                <w:color w:val="auto"/>
                <w:highlight w:val="none"/>
                <w:vertAlign w:val="baseline"/>
                <w:lang w:val="en-US" w:eastAsia="zh-CN"/>
              </w:rPr>
              <w:t>，英利奥，优净龙</w:t>
            </w:r>
          </w:p>
        </w:tc>
      </w:tr>
      <w:tr w14:paraId="0174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tcPr>
          <w:p w14:paraId="1CBCA134">
            <w:pPr>
              <w:pStyle w:val="6"/>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2182" w:type="dxa"/>
          </w:tcPr>
          <w:p w14:paraId="12644049">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电线，电缆</w:t>
            </w:r>
          </w:p>
        </w:tc>
        <w:tc>
          <w:tcPr>
            <w:tcW w:w="2994" w:type="dxa"/>
          </w:tcPr>
          <w:p w14:paraId="2F29B5C8">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详见清单</w:t>
            </w:r>
          </w:p>
        </w:tc>
        <w:tc>
          <w:tcPr>
            <w:tcW w:w="2078" w:type="dxa"/>
          </w:tcPr>
          <w:p w14:paraId="7ACEC785">
            <w:pPr>
              <w:pStyle w:val="6"/>
              <w:ind w:left="0" w:leftChars="0" w:firstLine="0" w:firstLineChars="0"/>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江南，远东，德力西</w:t>
            </w:r>
          </w:p>
        </w:tc>
      </w:tr>
      <w:tr w14:paraId="74AB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tcPr>
          <w:p w14:paraId="304C8D30">
            <w:pPr>
              <w:pStyle w:val="6"/>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2182" w:type="dxa"/>
          </w:tcPr>
          <w:p w14:paraId="599AFF10">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面板，插座</w:t>
            </w:r>
          </w:p>
        </w:tc>
        <w:tc>
          <w:tcPr>
            <w:tcW w:w="2994" w:type="dxa"/>
          </w:tcPr>
          <w:p w14:paraId="24371D08">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详见清单</w:t>
            </w:r>
          </w:p>
        </w:tc>
        <w:tc>
          <w:tcPr>
            <w:tcW w:w="2078" w:type="dxa"/>
          </w:tcPr>
          <w:p w14:paraId="0260A28B">
            <w:pPr>
              <w:pStyle w:val="6"/>
              <w:ind w:left="0" w:leftChars="0" w:firstLine="0" w:firstLineChars="0"/>
              <w:rPr>
                <w:rFonts w:hint="default" w:eastAsia="宋体"/>
                <w:color w:val="auto"/>
                <w:highlight w:val="none"/>
                <w:vertAlign w:val="baseline"/>
                <w:lang w:val="en-US" w:eastAsia="zh-CN"/>
              </w:rPr>
            </w:pPr>
            <w:r>
              <w:rPr>
                <w:rFonts w:hint="eastAsia"/>
                <w:color w:val="auto"/>
                <w:highlight w:val="none"/>
                <w:vertAlign w:val="baseline"/>
                <w:lang w:val="en-US" w:eastAsia="zh-CN"/>
              </w:rPr>
              <w:t>公牛</w:t>
            </w:r>
            <w:r>
              <w:rPr>
                <w:rFonts w:hint="default" w:eastAsia="宋体"/>
                <w:color w:val="auto"/>
                <w:highlight w:val="none"/>
                <w:vertAlign w:val="baseline"/>
                <w:lang w:val="en-US" w:eastAsia="zh-CN"/>
              </w:rPr>
              <w:t>，</w:t>
            </w:r>
            <w:r>
              <w:rPr>
                <w:rFonts w:hint="eastAsia"/>
                <w:color w:val="auto"/>
                <w:highlight w:val="none"/>
                <w:vertAlign w:val="baseline"/>
                <w:lang w:val="en-US" w:eastAsia="zh-CN"/>
              </w:rPr>
              <w:t>正泰</w:t>
            </w:r>
            <w:r>
              <w:rPr>
                <w:rFonts w:hint="default" w:eastAsia="宋体"/>
                <w:color w:val="auto"/>
                <w:highlight w:val="none"/>
                <w:vertAlign w:val="baseline"/>
                <w:lang w:val="en-US" w:eastAsia="zh-CN"/>
              </w:rPr>
              <w:t>，西门子</w:t>
            </w:r>
          </w:p>
        </w:tc>
      </w:tr>
      <w:tr w14:paraId="18C3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tcPr>
          <w:p w14:paraId="0C13CE8F">
            <w:pPr>
              <w:pStyle w:val="6"/>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2182" w:type="dxa"/>
          </w:tcPr>
          <w:p w14:paraId="632C5654">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配电箱</w:t>
            </w:r>
          </w:p>
        </w:tc>
        <w:tc>
          <w:tcPr>
            <w:tcW w:w="2994" w:type="dxa"/>
          </w:tcPr>
          <w:p w14:paraId="141D2956">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详见清单</w:t>
            </w:r>
          </w:p>
        </w:tc>
        <w:tc>
          <w:tcPr>
            <w:tcW w:w="2078" w:type="dxa"/>
          </w:tcPr>
          <w:p w14:paraId="0EE562FA">
            <w:pPr>
              <w:pStyle w:val="6"/>
              <w:ind w:left="0" w:leftChars="0" w:firstLine="0" w:firstLineChars="0"/>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施耐德，西门子，</w:t>
            </w:r>
            <w:r>
              <w:rPr>
                <w:rFonts w:hint="eastAsia"/>
                <w:color w:val="auto"/>
                <w:highlight w:val="none"/>
                <w:vertAlign w:val="baseline"/>
                <w:lang w:val="en-US" w:eastAsia="zh-CN"/>
              </w:rPr>
              <w:t>正泰</w:t>
            </w:r>
          </w:p>
        </w:tc>
      </w:tr>
      <w:tr w14:paraId="6F14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tcPr>
          <w:p w14:paraId="52DB67B8">
            <w:pPr>
              <w:pStyle w:val="6"/>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2182" w:type="dxa"/>
          </w:tcPr>
          <w:p w14:paraId="3C9DBDD4">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洁具</w:t>
            </w:r>
          </w:p>
        </w:tc>
        <w:tc>
          <w:tcPr>
            <w:tcW w:w="2994" w:type="dxa"/>
          </w:tcPr>
          <w:p w14:paraId="5B976E3A">
            <w:pPr>
              <w:pStyle w:val="6"/>
              <w:rPr>
                <w:rFonts w:hint="default" w:eastAsia="宋体"/>
                <w:color w:val="auto"/>
                <w:highlight w:val="none"/>
                <w:vertAlign w:val="baseline"/>
                <w:lang w:val="en-US" w:eastAsia="zh-CN"/>
              </w:rPr>
            </w:pPr>
            <w:r>
              <w:rPr>
                <w:rFonts w:hint="default" w:eastAsia="宋体"/>
                <w:color w:val="auto"/>
                <w:highlight w:val="none"/>
                <w:vertAlign w:val="baseline"/>
                <w:lang w:val="en-US" w:eastAsia="zh-CN"/>
              </w:rPr>
              <w:t>详见清单</w:t>
            </w:r>
          </w:p>
        </w:tc>
        <w:tc>
          <w:tcPr>
            <w:tcW w:w="2078" w:type="dxa"/>
          </w:tcPr>
          <w:p w14:paraId="484EC902">
            <w:pPr>
              <w:pStyle w:val="6"/>
              <w:ind w:left="0" w:leftChars="0" w:firstLine="0" w:firstLineChars="0"/>
              <w:rPr>
                <w:rFonts w:hint="default" w:eastAsia="宋体"/>
                <w:color w:val="auto"/>
                <w:highlight w:val="none"/>
                <w:vertAlign w:val="baseline"/>
                <w:lang w:val="en-US" w:eastAsia="zh-CN"/>
              </w:rPr>
            </w:pPr>
            <w:r>
              <w:rPr>
                <w:rFonts w:hint="eastAsia"/>
                <w:color w:val="auto"/>
                <w:highlight w:val="none"/>
                <w:vertAlign w:val="baseline"/>
                <w:lang w:val="en-US" w:eastAsia="zh-CN"/>
              </w:rPr>
              <w:t>法恩莎，九牧，箭牌</w:t>
            </w:r>
          </w:p>
        </w:tc>
      </w:tr>
    </w:tbl>
    <w:p w14:paraId="69403119">
      <w:pPr>
        <w:pStyle w:val="6"/>
        <w:rPr>
          <w:rFonts w:hint="default" w:eastAsia="宋体"/>
          <w:color w:val="auto"/>
          <w:highlight w:val="none"/>
          <w:lang w:val="en-US" w:eastAsia="zh-CN"/>
        </w:rPr>
      </w:pPr>
      <w:r>
        <w:rPr>
          <w:rFonts w:hint="eastAsia"/>
          <w:color w:val="auto"/>
          <w:highlight w:val="none"/>
          <w:lang w:val="en-US" w:eastAsia="zh-CN"/>
        </w:rPr>
        <w:t>注：为保障本项目工程质量及材料品质的可靠性，采购人推荐以上材料品牌。投标人可选择推荐品牌或选用同档次及以上的其他品牌。若选用非推荐品牌，投标人须在投标文件中提供相关证明材料（包括但不限于产品技术参数对比表、质量认证文件、近三年同类项目应用案例等），以证明其品牌品质、性能、等不低于推荐品牌标准，并确保所选品牌能满足本工程的设计要求及验收规范。</w:t>
      </w:r>
      <w:bookmarkStart w:id="0" w:name="_GoBack"/>
      <w:bookmarkEnd w:id="0"/>
    </w:p>
    <w:p w14:paraId="61F62D1D">
      <w:pPr>
        <w:spacing w:line="360" w:lineRule="auto"/>
        <w:rPr>
          <w:rFonts w:asciiTheme="majorEastAsia" w:hAnsiTheme="majorEastAsia" w:eastAsiaTheme="majorEastAsia" w:cstheme="majorEastAsia"/>
          <w:b/>
          <w:bCs/>
          <w:color w:val="auto"/>
          <w:kern w:val="1"/>
          <w:sz w:val="24"/>
          <w:highlight w:val="none"/>
        </w:rPr>
      </w:pPr>
      <w:r>
        <w:rPr>
          <w:rFonts w:hint="eastAsia" w:asciiTheme="majorEastAsia" w:hAnsiTheme="majorEastAsia" w:eastAsiaTheme="majorEastAsia" w:cstheme="majorEastAsia"/>
          <w:b/>
          <w:bCs/>
          <w:color w:val="auto"/>
          <w:kern w:val="1"/>
          <w:sz w:val="24"/>
          <w:highlight w:val="none"/>
        </w:rPr>
        <w:t>六、其它说明</w:t>
      </w:r>
    </w:p>
    <w:p w14:paraId="37ED9DD3">
      <w:pPr>
        <w:adjustRightInd w:val="0"/>
        <w:snapToGrid w:val="0"/>
        <w:spacing w:line="360" w:lineRule="auto"/>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招标人所发布的清单特征是清单项目的必要描述而非清单项目的所有工作内容，如果招标人的原因对部分做法进行调整的，以本说明为准，其他一律以工程量清单计价规范为准，如果投标人认为描述有错误、不完整等情况，必须在招标答疑时以书面形式向招标人提出，招标人将书面回复；如未提出，招标人在收到投标人报价时将认定投标人报价包含为了完成本工程所有工作内容，后期除招标人变更及不可抗力因素外，投标人中标后不得以任何理由对清单描述不详、错误等问题提出索赔要求，招标人不再认可投标人的基于清单现有项目的变更。</w:t>
      </w:r>
    </w:p>
    <w:p w14:paraId="55773669">
      <w:pPr>
        <w:adjustRightInd w:val="0"/>
        <w:snapToGrid w:val="0"/>
        <w:spacing w:line="360" w:lineRule="auto"/>
        <w:ind w:firstLine="480" w:firstLineChars="2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投标人应于投标前勘察现场，可与发包人联系，自行前往。踏勘现场应充分考虑本工程特点，分析施工条件、交通、材料运输等条件，发包方对于现有的施工条件将不增加任何投入，涉及到的须增加投入的因素如：现场临时围墙、道路、亮化、喷雾、防扬尘、降噪等措施需满足当地建设行政主管部门及环保部门要求，水、电、路、施工便道、临时道路、场地硬化的修建、土源及运土距离、土方（垃圾）开挖、回填、堆放、转运、地下水位问题、降排水、基坑支护、设备场内外运输、起重吊装、对现场已完工成品的保护、以及材料二次搬运、二次加工、现场安装等因素，投标人报价时应全面考量上述引起</w:t>
      </w:r>
      <w:r>
        <w:rPr>
          <w:rFonts w:asciiTheme="majorEastAsia" w:hAnsiTheme="majorEastAsia" w:eastAsiaTheme="majorEastAsia" w:cstheme="majorEastAsia"/>
          <w:color w:val="auto"/>
          <w:sz w:val="24"/>
          <w:highlight w:val="none"/>
        </w:rPr>
        <w:t>或</w:t>
      </w:r>
      <w:r>
        <w:rPr>
          <w:rFonts w:hint="eastAsia" w:asciiTheme="majorEastAsia" w:hAnsiTheme="majorEastAsia" w:eastAsiaTheme="majorEastAsia" w:cstheme="majorEastAsia"/>
          <w:color w:val="auto"/>
          <w:sz w:val="24"/>
          <w:highlight w:val="none"/>
        </w:rPr>
        <w:t>可能</w:t>
      </w:r>
      <w:r>
        <w:rPr>
          <w:rFonts w:asciiTheme="majorEastAsia" w:hAnsiTheme="majorEastAsia" w:eastAsiaTheme="majorEastAsia" w:cstheme="majorEastAsia"/>
          <w:color w:val="auto"/>
          <w:sz w:val="24"/>
          <w:highlight w:val="none"/>
        </w:rPr>
        <w:t>引起人工降效的</w:t>
      </w:r>
      <w:r>
        <w:rPr>
          <w:rFonts w:hint="eastAsia" w:asciiTheme="majorEastAsia" w:hAnsiTheme="majorEastAsia" w:eastAsiaTheme="majorEastAsia" w:cstheme="majorEastAsia"/>
          <w:color w:val="auto"/>
          <w:sz w:val="24"/>
          <w:highlight w:val="none"/>
        </w:rPr>
        <w:t>因素对施工成本和施工工期、其他可能对工程造成的影响并增加的费用等，各投标单位在投标报价中综合考虑，不论实际采用何种措施方案，结算时不予调整，</w:t>
      </w:r>
      <w:r>
        <w:rPr>
          <w:rFonts w:asciiTheme="majorEastAsia" w:hAnsiTheme="majorEastAsia" w:eastAsiaTheme="majorEastAsia" w:cstheme="majorEastAsia"/>
          <w:color w:val="auto"/>
          <w:sz w:val="24"/>
          <w:highlight w:val="none"/>
        </w:rPr>
        <w:t>工期不得以此顺延</w:t>
      </w:r>
      <w:r>
        <w:rPr>
          <w:rFonts w:hint="eastAsia" w:asciiTheme="majorEastAsia" w:hAnsiTheme="majorEastAsia" w:eastAsiaTheme="majorEastAsia" w:cstheme="majorEastAsia"/>
          <w:color w:val="auto"/>
          <w:sz w:val="24"/>
          <w:highlight w:val="none"/>
        </w:rPr>
        <w:t>。</w:t>
      </w:r>
    </w:p>
    <w:p w14:paraId="2D443A61">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color w:val="auto"/>
          <w:sz w:val="24"/>
          <w:highlight w:val="none"/>
        </w:rPr>
        <w:t>3.各投标单位应在投标报价中综合考虑</w:t>
      </w:r>
      <w:r>
        <w:rPr>
          <w:rFonts w:hint="eastAsia" w:asciiTheme="majorEastAsia" w:hAnsiTheme="majorEastAsia" w:eastAsiaTheme="majorEastAsia" w:cstheme="majorEastAsia"/>
          <w:sz w:val="24"/>
        </w:rPr>
        <w:t>材料检测等第三方检测费用、本工程所有相关的检验试验费等费用,结算时均不调整,检测单位由发包方选定；投标单位采购的所有材料必须保证符合国家有关质量标准要求，业主有权针对每一批进场材料随机现场取样送第三方检验机构检验，如检验结果不合格，投标单位需无条件拆除、修复及重新采购合格材料，并承担由此发生的一切费用，同时投标单位必须按本合同有关规定承担相应的违约责任。</w:t>
      </w:r>
    </w:p>
    <w:p w14:paraId="63F81E09">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投标单位对本项目主要材料请进行充分市场调研，综合考虑各方面因素后报价；所有材料均需按照业主要求提供样品，实施采购前须选样、送样，经发包方、监理、提出书面认可意见并封存样品后，方可批量采购和加工安装；样品需符合主要材料手册、物料表及发包方要求，且价格不予调整，各投标单位须考虑此风险；如业主方认为中标方提供样品不能满足要求，有权在建议品牌中选择同等档次的产品，中标方不能拒绝，且价格不予调整，各投标人须考虑此风险。如出现特殊情况无法按要求品牌采购的，需提供等于或优于推荐品牌的技术要求及质量标准的相关证明材料供招标人审查，向业主、监理、提供样品经同意后方可采购施工，且价格不予调整，各投标人须考虑此风险。</w:t>
      </w:r>
    </w:p>
    <w:p w14:paraId="549AD2A0">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各投标单位应充分做好安全及技术交底，保证本工程不涉及到其他构件的破坏，充分考虑完成各项工作所需的施工条件，如遭到损坏由投标单位自行修复，所需费用包含在报价内，竣工结算时不得要求增加调整费用；</w:t>
      </w:r>
    </w:p>
    <w:p w14:paraId="3EDD1415">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6.本项目与现场其他单位可能存在部分交叉施工，需做好积极沟通配合。</w:t>
      </w:r>
    </w:p>
    <w:p w14:paraId="7879D96F">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投标人应对措施项目清单进行核对，在投标报价时应充分考虑施工组织和技术措施（内容与深度应满足措施项目计价的需要），根据自身实际需要、实际情况自行补充、修改，如有招标工程量清单的缺项(漏项)或计算错误应该在招投标阶段及时提出，若投标人没有提出则该风险应由投标人承担，对招标人未列出的措施项目，投标单位应充分考虑施工工艺及技术规范要求，且在投标报价中考虑其一切安装相关费用，并可对其材料费、措施费明细自行补充，中标后不得以分析表中某项不含或与实际不符为由拒绝施工或提出增加费用，结算时不应以任何理由要求调整。对属于危险性较大工程范围的措施项目，投标人应在确保施工方案的可行性的基础上投标报价时充分考虑，中标后，非发包人原因导致的施工方案的改变，结算时不予调整。</w:t>
      </w:r>
    </w:p>
    <w:p w14:paraId="6D17872E">
      <w:pPr>
        <w:adjustRightInd w:val="0"/>
        <w:snapToGrid w:val="0"/>
        <w:spacing w:line="360" w:lineRule="auto"/>
        <w:ind w:firstLine="480" w:firstLineChars="200"/>
      </w:pPr>
      <w:r>
        <w:rPr>
          <w:rFonts w:hint="eastAsia" w:asciiTheme="majorEastAsia" w:hAnsiTheme="majorEastAsia" w:eastAsiaTheme="majorEastAsia" w:cstheme="majorEastAsia"/>
          <w:sz w:val="24"/>
        </w:rPr>
        <w:t>8.投标人供应的材料</w:t>
      </w:r>
      <w:r>
        <w:rPr>
          <w:rFonts w:hint="eastAsia" w:asciiTheme="majorEastAsia" w:hAnsiTheme="majorEastAsia" w:eastAsiaTheme="majorEastAsia" w:cstheme="majorEastAsia"/>
          <w:sz w:val="24"/>
          <w:lang w:val="en-US" w:eastAsia="zh-CN"/>
        </w:rPr>
        <w:t>可以</w:t>
      </w:r>
      <w:r>
        <w:rPr>
          <w:rFonts w:hint="eastAsia" w:asciiTheme="majorEastAsia" w:hAnsiTheme="majorEastAsia" w:eastAsiaTheme="majorEastAsia" w:cstheme="majorEastAsia"/>
          <w:sz w:val="24"/>
        </w:rPr>
        <w:t>从招标人推荐品牌中进行选择，投标时应明确所选的厂家品牌产品，或承诺使用发包方推荐的品牌，凡未列出的均视为已选定招标文件中推荐的品牌，视同其完全响应发包人推荐的品牌，且后期施工过程中发包人有权指定清单中列举的任何一种品牌，投标人不得提出任何异议。</w:t>
      </w:r>
    </w:p>
    <w:p w14:paraId="71AD310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B62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98AC4">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298AC4">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A1F02"/>
    <w:multiLevelType w:val="singleLevel"/>
    <w:tmpl w:val="08BA1F02"/>
    <w:lvl w:ilvl="0" w:tentative="0">
      <w:start w:val="5"/>
      <w:numFmt w:val="chineseCounting"/>
      <w:suff w:val="nothing"/>
      <w:lvlText w:val="%1、"/>
      <w:lvlJc w:val="left"/>
      <w:rPr>
        <w:rFonts w:hint="eastAsia"/>
      </w:rPr>
    </w:lvl>
  </w:abstractNum>
  <w:abstractNum w:abstractNumId="1">
    <w:nsid w:val="515B226E"/>
    <w:multiLevelType w:val="singleLevel"/>
    <w:tmpl w:val="515B226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C04D2"/>
    <w:rsid w:val="14142F81"/>
    <w:rsid w:val="160C04D2"/>
    <w:rsid w:val="574134AB"/>
    <w:rsid w:val="686D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20" w:lineRule="exact"/>
    </w:pPr>
    <w:rPr>
      <w:rFonts w:ascii="仿宋_GB2312" w:hAnsi="仿宋_GB2312" w:eastAsia="仿宋_GB2312" w:cs="宋体"/>
      <w:sz w:val="24"/>
    </w:rPr>
  </w:style>
  <w:style w:type="paragraph" w:styleId="3">
    <w:name w:val="Block Text"/>
    <w:basedOn w:val="1"/>
    <w:qFormat/>
    <w:uiPriority w:val="0"/>
    <w:pPr>
      <w:adjustRightInd w:val="0"/>
      <w:ind w:left="420" w:right="33"/>
      <w:jc w:val="left"/>
      <w:textAlignment w:val="baseline"/>
    </w:pPr>
    <w:rPr>
      <w:kern w:val="0"/>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w:basedOn w:val="1"/>
    <w:qFormat/>
    <w:uiPriority w:val="0"/>
    <w:pPr>
      <w:spacing w:line="312" w:lineRule="auto"/>
      <w:ind w:firstLine="4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2448</Words>
  <Characters>2541</Characters>
  <Lines>0</Lines>
  <Paragraphs>0</Paragraphs>
  <TotalTime>10</TotalTime>
  <ScaleCrop>false</ScaleCrop>
  <LinksUpToDate>false</LinksUpToDate>
  <CharactersWithSpaces>2542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2026-03-21T08:44:00Z</dcterms:created>
  <dc:creator>Kirke</dc:creator>
  <cp:lastModifiedBy>Kirke</cp:lastModifiedBy>
  <dcterms:modified xsi:type="dcterms:W3CDTF">2026-03-21T12:41:05Z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A0884EC2697C41C5BE91E9A2BE1ACF33_11</vt:lpwstr>
  </property>
  <property fmtid="{D5CDD505-2E9C-101B-9397-08002B2CF9AE}" pid="4" name="KSOTemplateDocerSaveRecord">
    <vt:lpwstr>eyJoZGlkIjoiMzEwNTM5NzYwMDRjMzkwZTVkZjY2ODkwMGIxNGU0OTUiLCJ1c2VySWQiOiI1NTc0OTUwNjYifQ==</vt:lpwstr>
  </property>
</Properties>
</file>