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B10D4">
      <w:pPr>
        <w:jc w:val="both"/>
        <w:rPr>
          <w:rFonts w:hint="default" w:ascii="Times New Roman" w:hAnsi="Times New Roman" w:cs="Times New Roman"/>
          <w:b/>
          <w:bCs/>
          <w:sz w:val="32"/>
          <w:szCs w:val="40"/>
          <w:lang w:val="en-US" w:eastAsia="zh-CN"/>
        </w:rPr>
      </w:pPr>
      <w:r>
        <w:rPr>
          <w:rFonts w:hint="default" w:ascii="Times New Roman" w:hAnsi="Times New Roman" w:eastAsia="黑体" w:cs="Times New Roman"/>
          <w:kern w:val="2"/>
          <w:sz w:val="30"/>
          <w:szCs w:val="21"/>
          <w:highlight w:val="none"/>
          <w:lang w:val="en-US" w:eastAsia="zh-CN" w:bidi="ar-SA"/>
        </w:rPr>
        <w:t>附件</w:t>
      </w:r>
      <w:r>
        <w:rPr>
          <w:rFonts w:hint="eastAsia" w:ascii="Times New Roman" w:hAnsi="Times New Roman" w:eastAsia="黑体" w:cs="Times New Roman"/>
          <w:kern w:val="2"/>
          <w:sz w:val="30"/>
          <w:szCs w:val="21"/>
          <w:highlight w:val="none"/>
          <w:lang w:val="en-US" w:eastAsia="zh-CN" w:bidi="ar-SA"/>
        </w:rPr>
        <w:t>1</w:t>
      </w:r>
      <w:r>
        <w:rPr>
          <w:rFonts w:hint="default" w:ascii="Times New Roman" w:hAnsi="Times New Roman" w:eastAsia="黑体" w:cs="Times New Roman"/>
          <w:kern w:val="2"/>
          <w:sz w:val="30"/>
          <w:szCs w:val="21"/>
          <w:highlight w:val="none"/>
          <w:lang w:val="en-US" w:eastAsia="zh-CN" w:bidi="ar-SA"/>
        </w:rPr>
        <w:t xml:space="preserve">  工作要求及明细表</w:t>
      </w:r>
    </w:p>
    <w:p w14:paraId="010F74F6">
      <w:pPr>
        <w:jc w:val="center"/>
        <w:rPr>
          <w:rFonts w:hint="default" w:ascii="Times New Roman" w:hAnsi="Times New Roman" w:cs="Times New Roman"/>
          <w:b/>
          <w:bCs/>
          <w:sz w:val="32"/>
          <w:szCs w:val="40"/>
          <w:lang w:val="en-US" w:eastAsia="zh-CN"/>
        </w:rPr>
      </w:pPr>
      <w:r>
        <w:rPr>
          <w:rFonts w:hint="default" w:ascii="Times New Roman" w:hAnsi="Times New Roman" w:cs="Times New Roman"/>
          <w:b/>
          <w:bCs/>
          <w:sz w:val="32"/>
          <w:szCs w:val="40"/>
          <w:lang w:val="en-US" w:eastAsia="zh-CN"/>
        </w:rPr>
        <w:t>十二师饮用水水源地污染源调查和环境质量现状监测工作要求及明细表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3471"/>
        <w:gridCol w:w="7788"/>
        <w:gridCol w:w="1830"/>
      </w:tblGrid>
      <w:tr w14:paraId="62AE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08CBB2DD">
            <w:pPr>
              <w:spacing w:line="240" w:lineRule="auto"/>
              <w:jc w:val="center"/>
              <w:rPr>
                <w:rFonts w:hint="default" w:ascii="Times New Roman" w:hAnsi="Times New Roman" w:eastAsia="仿宋" w:cs="Times New Roman"/>
                <w:b/>
                <w:bCs/>
                <w:sz w:val="21"/>
                <w:szCs w:val="21"/>
                <w:vertAlign w:val="baseline"/>
                <w:lang w:val="en-US" w:eastAsia="zh-CN"/>
              </w:rPr>
            </w:pPr>
            <w:r>
              <w:rPr>
                <w:rFonts w:hint="default" w:ascii="Times New Roman" w:hAnsi="Times New Roman" w:eastAsia="仿宋" w:cs="Times New Roman"/>
                <w:b/>
                <w:bCs/>
                <w:sz w:val="21"/>
                <w:szCs w:val="21"/>
                <w:vertAlign w:val="baseline"/>
                <w:lang w:val="en-US" w:eastAsia="zh-CN"/>
              </w:rPr>
              <w:t>项目</w:t>
            </w:r>
          </w:p>
        </w:tc>
        <w:tc>
          <w:tcPr>
            <w:tcW w:w="1225" w:type="pct"/>
            <w:vAlign w:val="center"/>
          </w:tcPr>
          <w:p w14:paraId="6853E3C3">
            <w:pPr>
              <w:spacing w:line="240" w:lineRule="auto"/>
              <w:jc w:val="center"/>
              <w:rPr>
                <w:rFonts w:hint="default" w:ascii="Times New Roman" w:hAnsi="Times New Roman" w:eastAsia="仿宋" w:cs="Times New Roman"/>
                <w:b/>
                <w:bCs/>
                <w:sz w:val="21"/>
                <w:szCs w:val="21"/>
                <w:vertAlign w:val="baseline"/>
                <w:lang w:val="en-US" w:eastAsia="zh-CN"/>
              </w:rPr>
            </w:pPr>
            <w:r>
              <w:rPr>
                <w:rFonts w:hint="default" w:ascii="Times New Roman" w:hAnsi="Times New Roman" w:eastAsia="仿宋" w:cs="Times New Roman"/>
                <w:b/>
                <w:bCs/>
                <w:sz w:val="21"/>
                <w:szCs w:val="21"/>
                <w:vertAlign w:val="baseline"/>
                <w:lang w:val="en-US" w:eastAsia="zh-CN"/>
              </w:rPr>
              <w:t>点位</w:t>
            </w:r>
          </w:p>
        </w:tc>
        <w:tc>
          <w:tcPr>
            <w:tcW w:w="2749" w:type="pct"/>
            <w:vAlign w:val="center"/>
          </w:tcPr>
          <w:p w14:paraId="53C6D15E">
            <w:pPr>
              <w:spacing w:line="240" w:lineRule="auto"/>
              <w:jc w:val="center"/>
              <w:rPr>
                <w:rFonts w:hint="default" w:ascii="Times New Roman" w:hAnsi="Times New Roman" w:eastAsia="仿宋" w:cs="Times New Roman"/>
                <w:b/>
                <w:bCs/>
                <w:sz w:val="21"/>
                <w:szCs w:val="21"/>
                <w:vertAlign w:val="baseline"/>
                <w:lang w:val="en-US" w:eastAsia="zh-CN"/>
              </w:rPr>
            </w:pPr>
            <w:r>
              <w:rPr>
                <w:rFonts w:hint="default" w:ascii="Times New Roman" w:hAnsi="Times New Roman" w:eastAsia="仿宋" w:cs="Times New Roman"/>
                <w:b/>
                <w:bCs/>
                <w:sz w:val="21"/>
                <w:szCs w:val="21"/>
                <w:vertAlign w:val="baseline"/>
                <w:lang w:val="en-US" w:eastAsia="zh-CN"/>
              </w:rPr>
              <w:t>具体工作内容</w:t>
            </w:r>
          </w:p>
        </w:tc>
        <w:tc>
          <w:tcPr>
            <w:tcW w:w="646" w:type="pct"/>
            <w:vAlign w:val="center"/>
          </w:tcPr>
          <w:p w14:paraId="4ED20496">
            <w:pPr>
              <w:spacing w:line="240" w:lineRule="auto"/>
              <w:jc w:val="center"/>
              <w:rPr>
                <w:rFonts w:hint="default" w:ascii="Times New Roman" w:hAnsi="Times New Roman" w:eastAsia="仿宋" w:cs="Times New Roman"/>
                <w:b/>
                <w:bCs/>
                <w:sz w:val="21"/>
                <w:szCs w:val="21"/>
                <w:vertAlign w:val="baseline"/>
                <w:lang w:val="en-US" w:eastAsia="zh-CN"/>
              </w:rPr>
            </w:pPr>
            <w:r>
              <w:rPr>
                <w:rFonts w:hint="default" w:ascii="Times New Roman" w:hAnsi="Times New Roman" w:eastAsia="仿宋" w:cs="Times New Roman"/>
                <w:b/>
                <w:bCs/>
                <w:sz w:val="21"/>
                <w:szCs w:val="21"/>
                <w:vertAlign w:val="baseline"/>
                <w:lang w:val="en-US" w:eastAsia="zh-CN"/>
              </w:rPr>
              <w:t>频次</w:t>
            </w:r>
          </w:p>
        </w:tc>
      </w:tr>
      <w:tr w14:paraId="05F1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477679C6">
            <w:pPr>
              <w:spacing w:line="240" w:lineRule="auto"/>
              <w:jc w:val="center"/>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地下水环境质量现状监测</w:t>
            </w:r>
          </w:p>
        </w:tc>
        <w:tc>
          <w:tcPr>
            <w:tcW w:w="1225" w:type="pct"/>
            <w:vAlign w:val="center"/>
          </w:tcPr>
          <w:p w14:paraId="4CF68C06">
            <w:pPr>
              <w:spacing w:line="240" w:lineRule="auto"/>
              <w:jc w:val="center"/>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十二师西山水厂饮用水水源保护区、十二师连队井水型饮用水源保护区、十二师221团和222团城镇饮用水地下水源保护区等4个地下水型饮用水源保护区：每个水源保护区在地下水流向上游、侧向和下游各设置1个监测点位，共计12个监测点位。</w:t>
            </w:r>
          </w:p>
        </w:tc>
        <w:tc>
          <w:tcPr>
            <w:tcW w:w="2749" w:type="pct"/>
            <w:vAlign w:val="center"/>
          </w:tcPr>
          <w:p w14:paraId="325170AF">
            <w:pPr>
              <w:spacing w:line="240" w:lineRule="auto"/>
              <w:jc w:val="center"/>
              <w:rPr>
                <w:rFonts w:hint="default" w:ascii="Times New Roman" w:hAnsi="Times New Roman" w:eastAsia="仿宋" w:cs="Times New Roman"/>
                <w:b/>
                <w:bCs/>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检测《地下水质量标准》（GB/T 14848-2017）中的全部共93项因子：色、嗅和味、浑浊度、肉眼可见物、pH、总硬度、溶解性总固体、硫酸盐、氯化物、铁、锰、钢、锌、铝、挥发性酚类、阴离子表面活性剂、耗氧量、氨氮、硫化物、钠、总大肠菌群、菌落总数、亚硝酸盐、硝酸盐、氰化物、氟化物、碘化物、汞、砷、硒、镉、铬(六价)、铅、总α放射性、总β放射性、铍、硼、锑、钡、镍、钻、钼、银、铊、有机化合物（49项）。</w:t>
            </w:r>
          </w:p>
        </w:tc>
        <w:tc>
          <w:tcPr>
            <w:tcW w:w="646" w:type="pct"/>
            <w:vAlign w:val="center"/>
          </w:tcPr>
          <w:p w14:paraId="7C2CB9EC">
            <w:pPr>
              <w:spacing w:line="240" w:lineRule="auto"/>
              <w:jc w:val="center"/>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共监测1天，每天监测1次。</w:t>
            </w:r>
          </w:p>
        </w:tc>
      </w:tr>
      <w:tr w14:paraId="1D61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0C85E6BC">
            <w:pPr>
              <w:spacing w:line="240" w:lineRule="auto"/>
              <w:jc w:val="center"/>
              <w:rPr>
                <w:rFonts w:hint="default" w:ascii="Times New Roman" w:hAnsi="Times New Roman" w:eastAsia="仿宋" w:cs="Times New Roman"/>
                <w:i w:val="0"/>
                <w:iCs w:val="0"/>
                <w:caps w:val="0"/>
                <w:color w:val="1A1A1A"/>
                <w:spacing w:val="0"/>
                <w:sz w:val="21"/>
                <w:szCs w:val="21"/>
                <w:shd w:val="clear" w:fill="FFFFFF"/>
                <w:lang w:val="en-US" w:eastAsia="zh-CN"/>
              </w:rPr>
            </w:pPr>
            <w:r>
              <w:rPr>
                <w:rFonts w:hint="default" w:ascii="Times New Roman" w:hAnsi="Times New Roman" w:eastAsia="仿宋" w:cs="Times New Roman"/>
                <w:b w:val="0"/>
                <w:bCs w:val="0"/>
                <w:sz w:val="21"/>
                <w:szCs w:val="21"/>
                <w:vertAlign w:val="baseline"/>
                <w:lang w:val="en-US" w:eastAsia="zh-CN"/>
              </w:rPr>
              <w:t>地表水环境质量现状监测</w:t>
            </w:r>
          </w:p>
        </w:tc>
        <w:tc>
          <w:tcPr>
            <w:tcW w:w="1225" w:type="pct"/>
            <w:vAlign w:val="center"/>
          </w:tcPr>
          <w:p w14:paraId="7B674771">
            <w:pPr>
              <w:bidi w:val="0"/>
              <w:spacing w:line="240" w:lineRule="auto"/>
              <w:jc w:val="center"/>
              <w:rPr>
                <w:rFonts w:hint="default" w:ascii="Times New Roman" w:hAnsi="Times New Roman" w:eastAsia="仿宋" w:cs="Times New Roman"/>
                <w:b/>
                <w:bCs/>
                <w:szCs w:val="21"/>
                <w:vertAlign w:val="baseline"/>
                <w:lang w:val="en-US" w:eastAsia="zh-CN"/>
              </w:rPr>
            </w:pPr>
            <w:r>
              <w:rPr>
                <w:rFonts w:hint="default" w:ascii="Times New Roman" w:hAnsi="Times New Roman" w:eastAsia="仿宋" w:cs="Times New Roman"/>
                <w:lang w:eastAsia="zh-CN"/>
              </w:rPr>
              <w:t>十二师红岩水库饮用水水源保护区</w:t>
            </w:r>
            <w:r>
              <w:rPr>
                <w:rFonts w:hint="default" w:ascii="Times New Roman" w:hAnsi="Times New Roman" w:eastAsia="仿宋" w:cs="Times New Roman"/>
                <w:lang w:val="en-US" w:eastAsia="zh-CN"/>
              </w:rPr>
              <w:t>1个地表水型饮用水源地：在库区上游、库区及库区下游各设置1个监测断面，共计3个监测断面。</w:t>
            </w:r>
          </w:p>
        </w:tc>
        <w:tc>
          <w:tcPr>
            <w:tcW w:w="2749" w:type="pct"/>
            <w:vAlign w:val="center"/>
          </w:tcPr>
          <w:p w14:paraId="5F64B44E">
            <w:pPr>
              <w:bidi w:val="0"/>
              <w:spacing w:line="240" w:lineRule="auto"/>
              <w:jc w:val="center"/>
              <w:rPr>
                <w:rFonts w:hint="default" w:ascii="Times New Roman" w:hAnsi="Times New Roman" w:eastAsia="仿宋" w:cs="Times New Roman"/>
                <w:b/>
                <w:bCs/>
                <w:sz w:val="21"/>
                <w:szCs w:val="21"/>
                <w:vertAlign w:val="baseline"/>
                <w:lang w:val="en-US" w:eastAsia="zh-CN"/>
              </w:rPr>
            </w:pPr>
            <w:r>
              <w:rPr>
                <w:rFonts w:hint="default" w:ascii="Times New Roman" w:hAnsi="Times New Roman" w:eastAsia="仿宋" w:cs="Times New Roman"/>
                <w:sz w:val="21"/>
                <w:szCs w:val="21"/>
                <w:lang w:val="en-US" w:eastAsia="zh-CN"/>
              </w:rPr>
              <w:t>检测《地表水环境质量标准》（GB 3838-2002）中的基本项目24项，集中式生活饮用水地表水源地补充项目5项，集中式生活饮用水地表水源地特定项目80项，共计109项因子。包含：水温、pH值、溶解氧、高锰酸盐指数、化学需氧量、五日生化需氧量、氨氮、总磷、总氮、铜、锌、氟化物、硒、砷、汞、镉、铬(六价)、铅、氰化物、挥发酚、石油类、阴离子表面活性剂、硫化物、粪大肠菌群、硫酸盐、氯化物、硝酸盐、铁、锰等。</w:t>
            </w:r>
          </w:p>
        </w:tc>
        <w:tc>
          <w:tcPr>
            <w:tcW w:w="646" w:type="pct"/>
            <w:shd w:val="clear" w:color="auto" w:fill="auto"/>
            <w:vAlign w:val="center"/>
          </w:tcPr>
          <w:p w14:paraId="64D29B26">
            <w:pPr>
              <w:spacing w:line="240" w:lineRule="auto"/>
              <w:jc w:val="center"/>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eastAsia="仿宋" w:cs="Times New Roman"/>
                <w:b w:val="0"/>
                <w:bCs w:val="0"/>
                <w:sz w:val="21"/>
                <w:szCs w:val="21"/>
                <w:vertAlign w:val="baseline"/>
                <w:lang w:val="en-US" w:eastAsia="zh-CN"/>
              </w:rPr>
              <w:t>共监测1天，每天监测1次。</w:t>
            </w:r>
          </w:p>
        </w:tc>
      </w:tr>
      <w:tr w14:paraId="626F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4BFB182E">
            <w:pPr>
              <w:spacing w:line="240" w:lineRule="auto"/>
              <w:jc w:val="center"/>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污染源现状调查</w:t>
            </w:r>
          </w:p>
        </w:tc>
        <w:tc>
          <w:tcPr>
            <w:tcW w:w="3974" w:type="pct"/>
            <w:gridSpan w:val="2"/>
            <w:vAlign w:val="center"/>
          </w:tcPr>
          <w:p w14:paraId="11F6BF55">
            <w:pPr>
              <w:bidi w:val="0"/>
              <w:spacing w:line="240" w:lineRule="auto"/>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lang w:val="en-US" w:eastAsia="zh-CN"/>
              </w:rPr>
              <w:t>对十二师西山水厂饮用水水源保护区、十二师连队井水型饮用水源保护区、十二师221团和222团城镇饮用水地下水源保护区、</w:t>
            </w:r>
            <w:r>
              <w:rPr>
                <w:rFonts w:hint="default" w:ascii="Times New Roman" w:hAnsi="Times New Roman" w:eastAsia="仿宋" w:cs="Times New Roman"/>
                <w:lang w:eastAsia="zh-CN"/>
              </w:rPr>
              <w:t>十二师红岩水库饮用水水源保护区</w:t>
            </w:r>
            <w:r>
              <w:rPr>
                <w:rFonts w:hint="default" w:ascii="Times New Roman" w:hAnsi="Times New Roman" w:eastAsia="仿宋" w:cs="Times New Roman"/>
                <w:lang w:val="en-US" w:eastAsia="zh-CN"/>
              </w:rPr>
              <w:t>进行</w:t>
            </w:r>
            <w:r>
              <w:rPr>
                <w:rFonts w:hint="default" w:ascii="Times New Roman" w:hAnsi="Times New Roman" w:eastAsia="仿宋" w:cs="Times New Roman"/>
                <w:sz w:val="21"/>
                <w:szCs w:val="21"/>
                <w:lang w:val="en-US" w:eastAsia="zh-CN"/>
              </w:rPr>
              <w:t>工业污染源、城镇生活污染源、农业面源污染源、移动污染源、风险类潜在污染源调查及水文水质背景调查等，并进行资料收集、调研、现状分析和评价。</w:t>
            </w:r>
          </w:p>
        </w:tc>
        <w:tc>
          <w:tcPr>
            <w:tcW w:w="646" w:type="pct"/>
            <w:vAlign w:val="center"/>
          </w:tcPr>
          <w:p w14:paraId="4210D944">
            <w:pPr>
              <w:spacing w:line="240" w:lineRule="auto"/>
              <w:jc w:val="center"/>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5个饮用水源保护区，均开展5种污染源的现状调查和现状分析评价。</w:t>
            </w:r>
          </w:p>
        </w:tc>
      </w:tr>
      <w:tr w14:paraId="4DAC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752B2D53">
            <w:pPr>
              <w:spacing w:line="240" w:lineRule="auto"/>
              <w:jc w:val="center"/>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报告编制</w:t>
            </w:r>
          </w:p>
        </w:tc>
        <w:tc>
          <w:tcPr>
            <w:tcW w:w="3974" w:type="pct"/>
            <w:gridSpan w:val="2"/>
            <w:vAlign w:val="center"/>
          </w:tcPr>
          <w:p w14:paraId="39DAFE57">
            <w:pPr>
              <w:bidi w:val="0"/>
              <w:spacing w:line="240" w:lineRule="auto"/>
              <w:jc w:val="center"/>
              <w:rPr>
                <w:rFonts w:hint="default" w:ascii="Times New Roman" w:hAnsi="Times New Roman" w:eastAsia="仿宋" w:cs="Times New Roman"/>
                <w:lang w:val="en-US" w:eastAsia="zh-CN"/>
              </w:rPr>
            </w:pPr>
            <w:r>
              <w:rPr>
                <w:rFonts w:hint="default" w:ascii="Times New Roman" w:hAnsi="Times New Roman" w:eastAsia="仿宋" w:cs="Times New Roman"/>
                <w:sz w:val="21"/>
                <w:szCs w:val="21"/>
                <w:lang w:val="en-US" w:eastAsia="zh-CN"/>
              </w:rPr>
              <w:t>编制《2026年十二师集中式饮用水水源地划定项目污染源现状调查和环境质量现状评价报告》。</w:t>
            </w:r>
          </w:p>
        </w:tc>
        <w:tc>
          <w:tcPr>
            <w:tcW w:w="646" w:type="pct"/>
            <w:vAlign w:val="center"/>
          </w:tcPr>
          <w:p w14:paraId="3FCADB5B">
            <w:pPr>
              <w:spacing w:line="240" w:lineRule="auto"/>
              <w:jc w:val="center"/>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 xml:space="preserve">编制报告一份 。 </w:t>
            </w:r>
          </w:p>
        </w:tc>
      </w:tr>
      <w:tr w14:paraId="13F5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3CD4FCEB">
            <w:pPr>
              <w:spacing w:line="240" w:lineRule="auto"/>
              <w:jc w:val="center"/>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其他工作</w:t>
            </w:r>
          </w:p>
        </w:tc>
        <w:tc>
          <w:tcPr>
            <w:tcW w:w="3974" w:type="pct"/>
            <w:gridSpan w:val="2"/>
            <w:vAlign w:val="center"/>
          </w:tcPr>
          <w:p w14:paraId="32C01F78">
            <w:pPr>
              <w:bidi w:val="0"/>
              <w:spacing w:line="240" w:lineRule="auto"/>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配合完成必要的资料收集、现场调研等；并协助完成《2026年十二师集中式饮用水水源地划定技术报告》的相关会议评审工作。</w:t>
            </w:r>
          </w:p>
        </w:tc>
        <w:tc>
          <w:tcPr>
            <w:tcW w:w="646" w:type="pct"/>
            <w:vAlign w:val="center"/>
          </w:tcPr>
          <w:p w14:paraId="36D1DB0D">
            <w:pPr>
              <w:spacing w:line="240" w:lineRule="auto"/>
              <w:jc w:val="center"/>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1项</w:t>
            </w:r>
          </w:p>
        </w:tc>
      </w:tr>
    </w:tbl>
    <w:p w14:paraId="57C3A44E">
      <w:pPr>
        <w:rPr>
          <w:rFonts w:hint="default" w:ascii="Times New Roman" w:hAnsi="Times New Roman" w:cs="Times New Roma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FD8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8E3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73725"/>
    <w:multiLevelType w:val="multilevel"/>
    <w:tmpl w:val="72173725"/>
    <w:lvl w:ilvl="0" w:tentative="0">
      <w:start w:val="1"/>
      <w:numFmt w:val="chineseCountingThousand"/>
      <w:pStyle w:val="2"/>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YTc4NWI4ZDZlNDgwYWY2ZDg1OTQ2OWM0NTA3YzkifQ=="/>
  </w:docVars>
  <w:rsids>
    <w:rsidRoot w:val="00000000"/>
    <w:rsid w:val="01066ED0"/>
    <w:rsid w:val="08416C3B"/>
    <w:rsid w:val="1823065F"/>
    <w:rsid w:val="1C111205"/>
    <w:rsid w:val="1F8B3021"/>
    <w:rsid w:val="2038163D"/>
    <w:rsid w:val="2CE36E61"/>
    <w:rsid w:val="32390899"/>
    <w:rsid w:val="3F9C31D5"/>
    <w:rsid w:val="440F6F8F"/>
    <w:rsid w:val="481F44B6"/>
    <w:rsid w:val="4AE26500"/>
    <w:rsid w:val="4C9D11F4"/>
    <w:rsid w:val="53ED2F62"/>
    <w:rsid w:val="5A11175A"/>
    <w:rsid w:val="5E743ADF"/>
    <w:rsid w:val="614C7AD6"/>
    <w:rsid w:val="72DE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kern w:val="2"/>
      <w:sz w:val="24"/>
      <w:szCs w:val="24"/>
      <w:lang w:val="en-US" w:eastAsia="zh-CN" w:bidi="ar-SA"/>
    </w:rPr>
  </w:style>
  <w:style w:type="paragraph" w:styleId="2">
    <w:name w:val="heading 1"/>
    <w:basedOn w:val="3"/>
    <w:next w:val="1"/>
    <w:qFormat/>
    <w:uiPriority w:val="9"/>
    <w:pPr>
      <w:numPr>
        <w:ilvl w:val="0"/>
        <w:numId w:val="1"/>
      </w:numPr>
      <w:tabs>
        <w:tab w:val="left" w:pos="1418"/>
      </w:tabs>
      <w:spacing w:line="360" w:lineRule="auto"/>
      <w:ind w:left="0" w:firstLine="200"/>
      <w:outlineLvl w:val="0"/>
    </w:pPr>
    <w:rPr>
      <w:rFonts w:ascii="Times New Roman" w:hAnsi="Times New Roman" w:eastAsia="黑体" w:cs="Times New Roman"/>
      <w:b/>
      <w:sz w:val="30"/>
      <w:szCs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Lines="50" w:afterLines="50" w:line="360" w:lineRule="auto"/>
      <w:jc w:val="center"/>
      <w:outlineLvl w:val="0"/>
    </w:pPr>
    <w:rPr>
      <w:rFonts w:ascii="Times New Roman" w:hAnsi="Times New Roman" w:eastAsia="黑体"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附件"/>
    <w:basedOn w:val="1"/>
    <w:next w:val="1"/>
    <w:qFormat/>
    <w:uiPriority w:val="0"/>
    <w:pPr>
      <w:spacing w:line="360" w:lineRule="auto"/>
    </w:pPr>
    <w:rPr>
      <w:rFonts w:ascii="Times New Roman" w:hAnsi="Times New Roman" w:eastAsia="黑体"/>
      <w:sz w:val="30"/>
      <w:szCs w:val="21"/>
    </w:rPr>
  </w:style>
  <w:style w:type="paragraph" w:customStyle="1" w:styleId="13">
    <w:name w:val="列表段落1"/>
    <w:basedOn w:val="1"/>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3389</Words>
  <Characters>3593</Characters>
  <Lines>0</Lines>
  <Paragraphs>0</Paragraphs>
  <TotalTime>4</TotalTime>
  <ScaleCrop>false</ScaleCrop>
  <LinksUpToDate>false</LinksUpToDate>
  <CharactersWithSpaces>3764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2024-09-26T08:30:00Z</dcterms:created>
  <dc:creator>lenovo</dc:creator>
  <cp:lastModifiedBy>刘畅</cp:lastModifiedBy>
  <dcterms:modified xsi:type="dcterms:W3CDTF">2026-07-15T07:17:30Z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80954025128E4066ADD23CBC0C3CE806_13</vt:lpwstr>
  </property>
  <property fmtid="{D5CDD505-2E9C-101B-9397-08002B2CF9AE}" pid="4" name="KSOTemplateDocerSaveRecord">
    <vt:lpwstr>eyJoZGlkIjoiNjY1YjE3MzVmY2FiMjZjNGNmM2IyODVkNDg1YzMxYTEiLCJ1c2VySWQiOiIzODkwNjU2MDcifQ==</vt:lpwstr>
  </property>
</Properties>
</file>