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DF" w:rsidRDefault="00741040">
      <w:pPr>
        <w:keepNext/>
        <w:tabs>
          <w:tab w:val="center" w:pos="7513"/>
        </w:tabs>
        <w:spacing w:beforeLines="100" w:before="312"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年度云南省科学技术奖提名项目公示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</w:t>
      </w:r>
    </w:p>
    <w:p w:rsidR="00A17ADF" w:rsidRDefault="00741040">
      <w:pPr>
        <w:tabs>
          <w:tab w:val="center" w:pos="7513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西南山地生物多样性保护监管的关键技术创新及应用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二、提名单位</w:t>
      </w:r>
    </w:p>
    <w:p w:rsidR="00A17ADF" w:rsidRDefault="00741040">
      <w:pPr>
        <w:tabs>
          <w:tab w:val="center" w:pos="7513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西南林业大学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三、推荐奖种和申报奖项等级</w:t>
      </w:r>
    </w:p>
    <w:p w:rsidR="00A17ADF" w:rsidRDefault="00741040" w:rsidP="00741040">
      <w:pPr>
        <w:tabs>
          <w:tab w:val="center" w:pos="7513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41040">
        <w:rPr>
          <w:rFonts w:ascii="宋体" w:eastAsia="宋体" w:hAnsi="宋体"/>
          <w:sz w:val="24"/>
          <w:szCs w:val="24"/>
        </w:rPr>
        <w:t>云南省科技进步奖（社会公益项目类）</w:t>
      </w:r>
      <w:r w:rsidRPr="00741040">
        <w:rPr>
          <w:rFonts w:ascii="宋体" w:eastAsia="宋体" w:hAnsi="宋体" w:hint="eastAsia"/>
          <w:sz w:val="24"/>
          <w:szCs w:val="24"/>
        </w:rPr>
        <w:t>二</w:t>
      </w:r>
      <w:r w:rsidRPr="00741040">
        <w:rPr>
          <w:rFonts w:ascii="宋体" w:eastAsia="宋体" w:hAnsi="宋体"/>
          <w:sz w:val="24"/>
          <w:szCs w:val="24"/>
        </w:rPr>
        <w:t>等奖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四、主要完成单位</w:t>
      </w:r>
      <w:r>
        <w:rPr>
          <w:sz w:val="24"/>
          <w:szCs w:val="24"/>
        </w:rPr>
        <w:t xml:space="preserve"> </w:t>
      </w:r>
    </w:p>
    <w:p w:rsidR="00A17ADF" w:rsidRDefault="0074104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西南林业大学</w:t>
      </w:r>
    </w:p>
    <w:p w:rsidR="00A17ADF" w:rsidRDefault="0074104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生态环境部南京环境科学研究所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17ADF" w:rsidRDefault="0074104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中国林业科学研究院</w:t>
      </w:r>
      <w:r>
        <w:rPr>
          <w:rFonts w:ascii="宋体" w:eastAsia="宋体" w:hAnsi="宋体" w:cs="宋体" w:hint="eastAsia"/>
          <w:sz w:val="24"/>
          <w:szCs w:val="24"/>
        </w:rPr>
        <w:t>高原林业研究</w:t>
      </w:r>
      <w:r>
        <w:rPr>
          <w:rFonts w:ascii="宋体" w:eastAsia="宋体" w:hAnsi="宋体" w:cs="宋体" w:hint="eastAsia"/>
          <w:sz w:val="24"/>
          <w:szCs w:val="24"/>
        </w:rPr>
        <w:t>所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A17ADF" w:rsidRDefault="00741040">
      <w:pPr>
        <w:tabs>
          <w:tab w:val="center" w:pos="7513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云南省测绘资料档案馆（云南省基础地理信息中心）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五、主要完成人</w:t>
      </w:r>
    </w:p>
    <w:p w:rsidR="00A17ADF" w:rsidRDefault="00741040">
      <w:pPr>
        <w:tabs>
          <w:tab w:val="center" w:pos="7513"/>
        </w:tabs>
        <w:spacing w:line="360" w:lineRule="auto"/>
        <w:ind w:firstLineChars="200" w:firstLine="480"/>
        <w:rPr>
          <w:rFonts w:asciiTheme="majorHAnsi" w:eastAsia="宋体" w:hAnsiTheme="majorHAnsi" w:cstheme="majorHAnsi"/>
          <w:sz w:val="24"/>
          <w:szCs w:val="24"/>
        </w:rPr>
      </w:pPr>
      <w:proofErr w:type="gramStart"/>
      <w:r>
        <w:rPr>
          <w:rFonts w:asciiTheme="majorHAnsi" w:eastAsia="宋体" w:hAnsiTheme="majorHAnsi" w:cstheme="majorHAnsi" w:hint="eastAsia"/>
          <w:sz w:val="24"/>
          <w:szCs w:val="24"/>
        </w:rPr>
        <w:t>叶江霞</w:t>
      </w:r>
      <w:proofErr w:type="gramEnd"/>
      <w:r>
        <w:rPr>
          <w:rFonts w:asciiTheme="majorHAnsi" w:eastAsia="宋体" w:hAnsiTheme="majorHAnsi" w:cstheme="majorHAnsi" w:hint="eastAsia"/>
          <w:sz w:val="24"/>
          <w:szCs w:val="24"/>
        </w:rPr>
        <w:t>（西南林业大学）、</w:t>
      </w:r>
      <w:r>
        <w:rPr>
          <w:rFonts w:asciiTheme="majorHAnsi" w:eastAsia="宋体" w:hAnsiTheme="majorHAnsi" w:cstheme="majorHAnsi" w:hint="eastAsia"/>
          <w:sz w:val="24"/>
          <w:szCs w:val="24"/>
        </w:rPr>
        <w:t>张建亮（</w:t>
      </w:r>
      <w:r>
        <w:rPr>
          <w:rFonts w:ascii="宋体" w:eastAsia="宋体" w:hAnsi="宋体" w:cs="宋体" w:hint="eastAsia"/>
          <w:sz w:val="24"/>
          <w:szCs w:val="24"/>
        </w:rPr>
        <w:t>生态环境部南京环境科学研究所</w:t>
      </w:r>
      <w:r>
        <w:rPr>
          <w:rFonts w:asciiTheme="majorHAnsi" w:eastAsia="宋体" w:hAnsiTheme="majorHAnsi" w:cstheme="majorHAnsi" w:hint="eastAsia"/>
          <w:sz w:val="24"/>
          <w:szCs w:val="24"/>
        </w:rPr>
        <w:t>）、</w:t>
      </w:r>
      <w:r>
        <w:rPr>
          <w:rFonts w:asciiTheme="majorHAnsi" w:eastAsia="宋体" w:hAnsiTheme="majorHAnsi" w:cstheme="majorHAnsi" w:hint="eastAsia"/>
          <w:sz w:val="24"/>
          <w:szCs w:val="24"/>
        </w:rPr>
        <w:t>王艳霞（西南林业大学）、</w:t>
      </w:r>
      <w:r>
        <w:rPr>
          <w:rFonts w:asciiTheme="majorHAnsi" w:eastAsia="宋体" w:hAnsiTheme="majorHAnsi" w:cstheme="majorHAnsi" w:hint="eastAsia"/>
          <w:sz w:val="24"/>
          <w:szCs w:val="24"/>
        </w:rPr>
        <w:t>王智（</w:t>
      </w:r>
      <w:r>
        <w:rPr>
          <w:rFonts w:ascii="宋体" w:eastAsia="宋体" w:hAnsi="宋体" w:cs="宋体" w:hint="eastAsia"/>
          <w:sz w:val="24"/>
          <w:szCs w:val="24"/>
        </w:rPr>
        <w:t>生态环境部南京环境科学研究所</w:t>
      </w:r>
      <w:r>
        <w:rPr>
          <w:rFonts w:asciiTheme="majorHAnsi" w:eastAsia="宋体" w:hAnsiTheme="majorHAnsi" w:cstheme="majorHAnsi" w:hint="eastAsia"/>
          <w:sz w:val="24"/>
          <w:szCs w:val="24"/>
        </w:rPr>
        <w:t>）、</w:t>
      </w:r>
      <w:r>
        <w:rPr>
          <w:rFonts w:asciiTheme="majorHAnsi" w:eastAsia="宋体" w:hAnsiTheme="majorHAnsi" w:cstheme="majorHAnsi" w:hint="eastAsia"/>
          <w:sz w:val="24"/>
          <w:szCs w:val="24"/>
        </w:rPr>
        <w:t>周汝良（西南林业大学）、邓忠坚（西南林业大学）</w:t>
      </w:r>
      <w:r>
        <w:rPr>
          <w:rFonts w:asciiTheme="majorHAnsi" w:eastAsia="宋体" w:hAnsiTheme="majorHAnsi" w:cstheme="majorHAnsi" w:hint="eastAsia"/>
          <w:sz w:val="24"/>
          <w:szCs w:val="24"/>
        </w:rPr>
        <w:t>、</w:t>
      </w:r>
      <w:r>
        <w:rPr>
          <w:rFonts w:asciiTheme="majorHAnsi" w:eastAsia="宋体" w:hAnsiTheme="majorHAnsi" w:cstheme="majorHAnsi" w:hint="eastAsia"/>
          <w:sz w:val="24"/>
          <w:szCs w:val="24"/>
        </w:rPr>
        <w:t>石雷</w:t>
      </w:r>
      <w:r>
        <w:rPr>
          <w:rFonts w:asciiTheme="majorHAnsi" w:eastAsia="宋体" w:hAnsiTheme="majorHAnsi" w:cstheme="majorHAnsi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中国林业科学研究院</w:t>
      </w:r>
      <w:r>
        <w:rPr>
          <w:rFonts w:ascii="宋体" w:eastAsia="宋体" w:hAnsi="宋体" w:cs="宋体" w:hint="eastAsia"/>
          <w:sz w:val="24"/>
          <w:szCs w:val="24"/>
        </w:rPr>
        <w:t>高原林业研究</w:t>
      </w:r>
      <w:r>
        <w:rPr>
          <w:rFonts w:ascii="宋体" w:eastAsia="宋体" w:hAnsi="宋体" w:cs="宋体" w:hint="eastAsia"/>
          <w:sz w:val="24"/>
          <w:szCs w:val="24"/>
        </w:rPr>
        <w:t>所</w:t>
      </w:r>
      <w:r>
        <w:rPr>
          <w:rFonts w:asciiTheme="majorHAnsi" w:eastAsia="宋体" w:hAnsiTheme="majorHAnsi" w:cstheme="majorHAnsi" w:hint="eastAsia"/>
          <w:sz w:val="24"/>
          <w:szCs w:val="24"/>
        </w:rPr>
        <w:t>）、</w:t>
      </w:r>
      <w:r>
        <w:rPr>
          <w:rFonts w:asciiTheme="majorHAnsi" w:eastAsia="宋体" w:hAnsiTheme="majorHAnsi" w:cstheme="majorHAnsi" w:hint="eastAsia"/>
          <w:sz w:val="24"/>
          <w:szCs w:val="24"/>
        </w:rPr>
        <w:t>魏晓燕</w:t>
      </w:r>
      <w:r>
        <w:rPr>
          <w:rFonts w:asciiTheme="majorHAnsi" w:eastAsia="宋体" w:hAnsiTheme="majorHAnsi" w:cstheme="majorHAnsi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云南省测绘资料档案馆（云南省基础地理信息中心）</w:t>
      </w:r>
      <w:r>
        <w:rPr>
          <w:rFonts w:asciiTheme="majorHAnsi" w:eastAsia="宋体" w:hAnsiTheme="majorHAnsi" w:cstheme="majorHAnsi" w:hint="eastAsia"/>
          <w:sz w:val="24"/>
          <w:szCs w:val="24"/>
        </w:rPr>
        <w:t>）、</w:t>
      </w:r>
      <w:r>
        <w:rPr>
          <w:rFonts w:asciiTheme="majorHAnsi" w:eastAsia="宋体" w:hAnsiTheme="majorHAnsi" w:cstheme="majorHAnsi" w:hint="eastAsia"/>
          <w:sz w:val="24"/>
          <w:szCs w:val="24"/>
        </w:rPr>
        <w:t>周峻松（</w:t>
      </w:r>
      <w:r>
        <w:rPr>
          <w:rFonts w:ascii="宋体" w:eastAsia="宋体" w:hAnsi="宋体" w:cs="宋体" w:hint="eastAsia"/>
          <w:sz w:val="24"/>
          <w:szCs w:val="24"/>
        </w:rPr>
        <w:t>云南省测绘资料档案馆（云南省基础地理信息中心）</w:t>
      </w:r>
      <w:r>
        <w:rPr>
          <w:rFonts w:asciiTheme="majorHAnsi" w:eastAsia="宋体" w:hAnsiTheme="majorHAnsi" w:cstheme="majorHAnsi" w:hint="eastAsia"/>
          <w:sz w:val="24"/>
          <w:szCs w:val="24"/>
        </w:rPr>
        <w:t>）、</w:t>
      </w:r>
      <w:r>
        <w:rPr>
          <w:rFonts w:asciiTheme="majorHAnsi" w:eastAsia="宋体" w:hAnsiTheme="majorHAnsi" w:cstheme="majorHAnsi" w:hint="eastAsia"/>
          <w:sz w:val="24"/>
          <w:szCs w:val="24"/>
        </w:rPr>
        <w:t>吴明山（西南林业大学）、</w:t>
      </w:r>
      <w:r>
        <w:rPr>
          <w:rFonts w:asciiTheme="majorHAnsi" w:eastAsia="宋体" w:hAnsiTheme="majorHAnsi" w:cstheme="majorHAnsi" w:hint="eastAsia"/>
          <w:sz w:val="24"/>
          <w:szCs w:val="24"/>
        </w:rPr>
        <w:t>杜婷</w:t>
      </w:r>
      <w:r>
        <w:rPr>
          <w:rFonts w:asciiTheme="majorHAnsi" w:eastAsia="宋体" w:hAnsiTheme="majorHAnsi" w:cstheme="majorHAnsi" w:hint="eastAsia"/>
          <w:sz w:val="24"/>
          <w:szCs w:val="24"/>
        </w:rPr>
        <w:t>（西南林业大学）</w:t>
      </w:r>
    </w:p>
    <w:p w:rsidR="00A17ADF" w:rsidRDefault="00741040">
      <w:pPr>
        <w:tabs>
          <w:tab w:val="center" w:pos="7513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六、主要知识产权目录</w:t>
      </w:r>
    </w:p>
    <w:p w:rsidR="00A17ADF" w:rsidRDefault="00741040">
      <w:pPr>
        <w:tabs>
          <w:tab w:val="center" w:pos="7513"/>
        </w:tabs>
        <w:spacing w:line="360" w:lineRule="auto"/>
        <w:rPr>
          <w:rFonts w:asciiTheme="majorHAnsi" w:eastAsia="宋体" w:hAnsiTheme="majorHAnsi" w:cstheme="majorHAnsi"/>
          <w:b/>
          <w:bCs/>
          <w:sz w:val="24"/>
          <w:szCs w:val="24"/>
        </w:rPr>
      </w:pPr>
      <w:r>
        <w:rPr>
          <w:rFonts w:asciiTheme="majorHAnsi" w:eastAsia="宋体" w:hAnsiTheme="majorHAnsi" w:cstheme="majorHAnsi"/>
          <w:b/>
          <w:bCs/>
          <w:sz w:val="24"/>
          <w:szCs w:val="24"/>
        </w:rPr>
        <w:t>1</w:t>
      </w:r>
      <w:r>
        <w:rPr>
          <w:rFonts w:asciiTheme="majorHAnsi" w:eastAsia="宋体" w:hAnsiTheme="majorHAnsi" w:cstheme="majorHAnsi" w:hint="eastAsia"/>
          <w:b/>
          <w:bCs/>
          <w:sz w:val="24"/>
          <w:szCs w:val="24"/>
        </w:rPr>
        <w:t>．授权的代表</w:t>
      </w:r>
      <w:bookmarkStart w:id="0" w:name="_GoBack"/>
      <w:bookmarkEnd w:id="0"/>
      <w:r>
        <w:rPr>
          <w:rFonts w:asciiTheme="majorHAnsi" w:eastAsia="宋体" w:hAnsiTheme="majorHAnsi" w:cstheme="majorHAnsi" w:hint="eastAsia"/>
          <w:b/>
          <w:bCs/>
          <w:sz w:val="24"/>
          <w:szCs w:val="24"/>
        </w:rPr>
        <w:t>性发明专利</w:t>
      </w:r>
      <w:r>
        <w:rPr>
          <w:rFonts w:asciiTheme="majorHAnsi" w:eastAsia="宋体" w:hAnsiTheme="majorHAnsi" w:cstheme="majorHAnsi" w:hint="eastAsia"/>
          <w:b/>
          <w:bCs/>
          <w:sz w:val="24"/>
          <w:szCs w:val="24"/>
        </w:rPr>
        <w:t>及软件著作权</w:t>
      </w:r>
      <w:r>
        <w:rPr>
          <w:rFonts w:asciiTheme="majorHAnsi" w:eastAsia="宋体" w:hAnsiTheme="majorHAnsi" w:cstheme="majorHAnsi" w:hint="eastAsia"/>
          <w:b/>
          <w:bCs/>
          <w:sz w:val="24"/>
          <w:szCs w:val="24"/>
        </w:rPr>
        <w:t>：</w:t>
      </w:r>
    </w:p>
    <w:tbl>
      <w:tblPr>
        <w:tblW w:w="51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070"/>
        <w:gridCol w:w="2118"/>
        <w:gridCol w:w="1661"/>
        <w:gridCol w:w="1193"/>
        <w:gridCol w:w="1708"/>
        <w:gridCol w:w="1229"/>
        <w:gridCol w:w="858"/>
      </w:tblGrid>
      <w:tr w:rsidR="00A17ADF">
        <w:trPr>
          <w:trHeight w:val="638"/>
          <w:tblHeader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专利类别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专利名称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授权号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594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有效状态</w:t>
            </w:r>
          </w:p>
        </w:tc>
      </w:tr>
      <w:tr w:rsidR="00A17ADF">
        <w:trPr>
          <w:trHeight w:val="903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一种生态类自然保护地的保护成效评估方法及系统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CN109657994B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2020-11-10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A17ADF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周汝良</w:t>
            </w:r>
            <w:r>
              <w:rPr>
                <w:rFonts w:ascii="Times New Roman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叶江霞</w:t>
            </w:r>
            <w:r>
              <w:rPr>
                <w:rFonts w:ascii="Times New Roman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王艳霞</w:t>
            </w:r>
          </w:p>
          <w:p w:rsidR="00A17ADF" w:rsidRDefault="00A17ADF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有效</w:t>
            </w:r>
          </w:p>
        </w:tc>
      </w:tr>
      <w:tr w:rsidR="00A17ADF">
        <w:trPr>
          <w:trHeight w:val="710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一种陆地自然保护区孤岛效应的计算方法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CN111581755B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2021-05-18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生态环境部南京环境科学研究所</w:t>
            </w:r>
          </w:p>
        </w:tc>
        <w:tc>
          <w:tcPr>
            <w:tcW w:w="594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张建亮</w:t>
            </w:r>
            <w:r>
              <w:rPr>
                <w:rFonts w:ascii="Times New Roman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夏欣</w:t>
            </w:r>
            <w:r>
              <w:rPr>
                <w:rFonts w:ascii="Times New Roman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王智</w:t>
            </w: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有效</w:t>
            </w:r>
          </w:p>
        </w:tc>
      </w:tr>
      <w:tr w:rsidR="00A17ADF">
        <w:trPr>
          <w:trHeight w:val="987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一种度量地貌破碎程度栅格化曲面的构建方法及系统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 xml:space="preserve"> CN112950779B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2021-10-29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30" w:left="-63" w:rightChars="-30" w:right="-63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周汝良</w:t>
            </w:r>
            <w:r>
              <w:rPr>
                <w:rFonts w:ascii="Times New Roman"/>
                <w:sz w:val="21"/>
                <w:szCs w:val="21"/>
              </w:rPr>
              <w:t xml:space="preserve">; </w:t>
            </w:r>
            <w:r>
              <w:rPr>
                <w:rFonts w:ascii="Times New Roman"/>
                <w:sz w:val="21"/>
                <w:szCs w:val="21"/>
              </w:rPr>
              <w:t>王艳霞</w:t>
            </w: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sz w:val="21"/>
                <w:szCs w:val="21"/>
                <w:highlight w:val="yellow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有效</w:t>
            </w:r>
          </w:p>
        </w:tc>
      </w:tr>
      <w:tr w:rsidR="00A17ADF">
        <w:trPr>
          <w:trHeight w:val="987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基于机器学习及多光谱影像的林木火灾受损信息提取方法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CN116704212B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2023-10-27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叶江霞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崔中耀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赵爽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全文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斌</w:t>
            </w:r>
            <w:proofErr w:type="gramEnd"/>
          </w:p>
        </w:tc>
        <w:tc>
          <w:tcPr>
            <w:tcW w:w="415" w:type="pct"/>
            <w:vAlign w:val="center"/>
          </w:tcPr>
          <w:p w:rsidR="00A17ADF" w:rsidRDefault="00741040">
            <w:pPr>
              <w:adjustRightInd w:val="0"/>
              <w:snapToGrid w:val="0"/>
              <w:jc w:val="center"/>
              <w:rPr>
                <w:rFonts w:asciiTheme="majorHAnsi" w:eastAsia="宋体" w:hAnsiTheme="majorHAnsi" w:cstheme="majorHAnsi"/>
                <w:color w:val="000000"/>
                <w:szCs w:val="21"/>
                <w:lang w:bidi="ar"/>
              </w:rPr>
            </w:pPr>
            <w:r>
              <w:rPr>
                <w:rFonts w:asciiTheme="majorHAnsi" w:eastAsia="宋体" w:hAnsiTheme="majorHAnsi" w:cstheme="majorHAnsi"/>
                <w:color w:val="000000"/>
                <w:szCs w:val="21"/>
                <w:lang w:bidi="ar"/>
              </w:rPr>
              <w:t>有效</w:t>
            </w:r>
          </w:p>
        </w:tc>
      </w:tr>
      <w:tr w:rsidR="00A17ADF">
        <w:trPr>
          <w:trHeight w:val="955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一种自然保护区道路建设项目生态影响评估系统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CN111652487B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2021-07-13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生态环境部南京环境科学研究所</w:t>
            </w:r>
          </w:p>
          <w:p w:rsidR="00A17ADF" w:rsidRDefault="00A17ADF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张建亮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徐网谷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钱者东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吕莹莹</w:t>
            </w:r>
          </w:p>
          <w:p w:rsidR="00A17ADF" w:rsidRDefault="00A17ADF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adjustRightInd w:val="0"/>
              <w:snapToGrid w:val="0"/>
              <w:jc w:val="center"/>
              <w:rPr>
                <w:rFonts w:asciiTheme="majorHAnsi" w:eastAsia="宋体" w:hAnsiTheme="majorHAnsi" w:cstheme="majorHAnsi"/>
                <w:color w:val="000000"/>
                <w:szCs w:val="21"/>
                <w:lang w:bidi="ar"/>
              </w:rPr>
            </w:pPr>
            <w:r>
              <w:rPr>
                <w:rFonts w:asciiTheme="majorHAnsi" w:eastAsia="宋体" w:hAnsiTheme="majorHAnsi" w:cstheme="majorHAnsi"/>
                <w:szCs w:val="21"/>
              </w:rPr>
              <w:t>有效</w:t>
            </w:r>
          </w:p>
        </w:tc>
      </w:tr>
      <w:tr w:rsidR="00A17ADF">
        <w:trPr>
          <w:trHeight w:val="2161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Chars="-50"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 calculation method for landscape conservation value of terrestrial nature reserve</w:t>
            </w:r>
          </w:p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Chars="-50"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AU2021107232A4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Chars="-50"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2021-12-29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Nanjing Institute of Environmental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Sciences,Ministry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of Ecology and Environment of the People's Republic of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China </w:t>
            </w:r>
          </w:p>
          <w:p w:rsidR="00A17ADF" w:rsidRDefault="00A17ADF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594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Chars="-30"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Zhang,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Jianliang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; LV,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yingying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; Xu,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Jianing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; Qu, Chang;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Xu,Baokun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and Chen, Peng</w:t>
            </w:r>
          </w:p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Chars="-30"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Theme="majorHAnsi" w:hAnsiTheme="majorHAnsi" w:cstheme="majorHAnsi"/>
                <w:kern w:val="2"/>
                <w:sz w:val="21"/>
                <w:szCs w:val="21"/>
                <w:lang w:bidi="ar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有效</w:t>
            </w:r>
          </w:p>
        </w:tc>
      </w:tr>
      <w:tr w:rsidR="00A17ADF">
        <w:trPr>
          <w:trHeight w:val="1005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7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软件著作权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云南省自然保护区管理</w:t>
            </w:r>
            <w:r>
              <w:rPr>
                <w:rFonts w:ascii="Times New Roman" w:hAnsi="Times New Roman"/>
                <w:sz w:val="21"/>
                <w:szCs w:val="21"/>
              </w:rPr>
              <w:t>GIS</w:t>
            </w:r>
            <w:r>
              <w:rPr>
                <w:rFonts w:ascii="Times New Roman" w:hAnsi="Times New Roman"/>
                <w:sz w:val="21"/>
                <w:szCs w:val="21"/>
              </w:rPr>
              <w:t>系统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2014SR139639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2014-9-17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有效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 </w:t>
            </w:r>
          </w:p>
        </w:tc>
      </w:tr>
      <w:tr w:rsidR="00A17ADF">
        <w:trPr>
          <w:trHeight w:val="1439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8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软件著作权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云南省生物多样性</w:t>
            </w:r>
            <w:r>
              <w:rPr>
                <w:rFonts w:ascii="Times New Roman" w:hAnsi="Times New Roman"/>
                <w:sz w:val="21"/>
                <w:szCs w:val="21"/>
              </w:rPr>
              <w:t>GIS</w:t>
            </w:r>
            <w:r>
              <w:rPr>
                <w:rFonts w:ascii="Times New Roman" w:hAnsi="Times New Roman"/>
                <w:sz w:val="21"/>
                <w:szCs w:val="21"/>
              </w:rPr>
              <w:t>数据库系统</w:t>
            </w:r>
            <w:r>
              <w:rPr>
                <w:rFonts w:ascii="Times New Roman" w:hAnsi="Times New Roman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sz w:val="21"/>
                <w:szCs w:val="21"/>
              </w:rPr>
              <w:t>简称</w:t>
            </w:r>
            <w:r>
              <w:rPr>
                <w:rFonts w:ascii="Times New Roman" w:hAnsi="Times New Roman"/>
                <w:sz w:val="21"/>
                <w:szCs w:val="21"/>
              </w:rPr>
              <w:t>:YNBGIS(Yunnan Biodiversity GIS)]V1.0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2014SR216783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2016-12-30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有效</w:t>
            </w:r>
          </w:p>
        </w:tc>
      </w:tr>
      <w:tr w:rsidR="00A17ADF">
        <w:trPr>
          <w:trHeight w:val="90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软件著作权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自然保护区信息网络平台</w:t>
            </w:r>
            <w:r>
              <w:rPr>
                <w:rFonts w:ascii="Times New Roman" w:hAnsi="Times New Roman"/>
                <w:sz w:val="21"/>
                <w:szCs w:val="21"/>
              </w:rPr>
              <w:t>[</w:t>
            </w:r>
            <w:r>
              <w:rPr>
                <w:rFonts w:ascii="Times New Roman" w:hAnsi="Times New Roman"/>
                <w:sz w:val="21"/>
                <w:szCs w:val="21"/>
              </w:rPr>
              <w:t>简称</w:t>
            </w:r>
            <w:r>
              <w:rPr>
                <w:rFonts w:ascii="Times New Roman" w:hAnsi="Times New Roman"/>
                <w:sz w:val="21"/>
                <w:szCs w:val="21"/>
              </w:rPr>
              <w:t>:ZRBHQXXWLPT]V1.0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2016SR131643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2016-6-4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有效</w:t>
            </w:r>
          </w:p>
        </w:tc>
      </w:tr>
      <w:tr w:rsidR="00A17ADF">
        <w:trPr>
          <w:trHeight w:val="975"/>
          <w:jc w:val="center"/>
        </w:trPr>
        <w:tc>
          <w:tcPr>
            <w:tcW w:w="243" w:type="pct"/>
            <w:vAlign w:val="center"/>
          </w:tcPr>
          <w:p w:rsidR="00A17ADF" w:rsidRDefault="0074104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</w:t>
            </w:r>
          </w:p>
        </w:tc>
        <w:tc>
          <w:tcPr>
            <w:tcW w:w="51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软件著作权</w:t>
            </w:r>
          </w:p>
        </w:tc>
        <w:tc>
          <w:tcPr>
            <w:tcW w:w="1023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云南自然保护地生态环境综合监管</w:t>
            </w:r>
            <w:r>
              <w:rPr>
                <w:rFonts w:ascii="Times New Roman" w:hAnsi="Times New Roman"/>
                <w:sz w:val="21"/>
                <w:szCs w:val="21"/>
              </w:rPr>
              <w:t>GIS</w:t>
            </w:r>
            <w:r>
              <w:rPr>
                <w:rFonts w:ascii="Times New Roman" w:hAnsi="Times New Roman"/>
                <w:sz w:val="21"/>
                <w:szCs w:val="21"/>
              </w:rPr>
              <w:t>平台</w:t>
            </w:r>
            <w:r>
              <w:rPr>
                <w:rFonts w:ascii="Times New Roman" w:hAnsi="Times New Roman"/>
                <w:sz w:val="21"/>
                <w:szCs w:val="21"/>
              </w:rPr>
              <w:t>V1.0</w:t>
            </w:r>
          </w:p>
        </w:tc>
        <w:tc>
          <w:tcPr>
            <w:tcW w:w="802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2021SR0897139</w:t>
            </w:r>
          </w:p>
        </w:tc>
        <w:tc>
          <w:tcPr>
            <w:tcW w:w="577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105" w:rightChars="-50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2021-6-16</w:t>
            </w:r>
          </w:p>
        </w:tc>
        <w:tc>
          <w:tcPr>
            <w:tcW w:w="825" w:type="pct"/>
            <w:vAlign w:val="center"/>
          </w:tcPr>
          <w:p w:rsidR="00A17ADF" w:rsidRDefault="00741040">
            <w:pPr>
              <w:adjustRightInd w:val="0"/>
              <w:snapToGrid w:val="0"/>
              <w:ind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西南林业大学</w:t>
            </w:r>
          </w:p>
        </w:tc>
        <w:tc>
          <w:tcPr>
            <w:tcW w:w="594" w:type="pct"/>
            <w:vAlign w:val="center"/>
          </w:tcPr>
          <w:p w:rsidR="00A17ADF" w:rsidRDefault="00A17ADF">
            <w:pPr>
              <w:pStyle w:val="ad"/>
              <w:widowControl w:val="0"/>
              <w:adjustRightInd w:val="0"/>
              <w:snapToGrid w:val="0"/>
              <w:spacing w:beforeAutospacing="0" w:afterAutospacing="0"/>
              <w:ind w:left="-63" w:rightChars="-30" w:right="-6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17ADF" w:rsidRDefault="00741040">
            <w:pPr>
              <w:pStyle w:val="ad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有效</w:t>
            </w:r>
          </w:p>
        </w:tc>
      </w:tr>
    </w:tbl>
    <w:p w:rsidR="00A17ADF" w:rsidRDefault="00A17ADF">
      <w:pPr>
        <w:tabs>
          <w:tab w:val="center" w:pos="7513"/>
        </w:tabs>
        <w:spacing w:line="360" w:lineRule="auto"/>
        <w:rPr>
          <w:rFonts w:asciiTheme="majorHAnsi" w:eastAsia="宋体" w:hAnsiTheme="majorHAnsi" w:cstheme="majorHAnsi"/>
          <w:b/>
          <w:bCs/>
          <w:sz w:val="24"/>
          <w:szCs w:val="24"/>
        </w:rPr>
      </w:pPr>
    </w:p>
    <w:p w:rsidR="00A17ADF" w:rsidRDefault="00741040">
      <w:pPr>
        <w:tabs>
          <w:tab w:val="center" w:pos="7513"/>
        </w:tabs>
        <w:spacing w:line="360" w:lineRule="auto"/>
        <w:rPr>
          <w:rFonts w:asciiTheme="majorHAnsi" w:eastAsia="宋体" w:hAnsiTheme="majorHAnsi" w:cstheme="majorHAnsi"/>
          <w:b/>
          <w:bCs/>
          <w:sz w:val="24"/>
          <w:szCs w:val="24"/>
        </w:rPr>
      </w:pPr>
      <w:r>
        <w:rPr>
          <w:rFonts w:asciiTheme="majorHAnsi" w:eastAsia="宋体" w:hAnsiTheme="majorHAnsi" w:cstheme="majorHAnsi"/>
          <w:b/>
          <w:bCs/>
          <w:sz w:val="24"/>
          <w:szCs w:val="24"/>
        </w:rPr>
        <w:t xml:space="preserve">2. </w:t>
      </w:r>
      <w:r>
        <w:rPr>
          <w:rFonts w:asciiTheme="majorHAnsi" w:eastAsia="宋体" w:hAnsiTheme="majorHAnsi" w:cstheme="majorHAnsi"/>
          <w:b/>
          <w:bCs/>
          <w:sz w:val="24"/>
          <w:szCs w:val="24"/>
        </w:rPr>
        <w:t>发表的代表性科技论文：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17"/>
        <w:gridCol w:w="3626"/>
        <w:gridCol w:w="1371"/>
        <w:gridCol w:w="2449"/>
        <w:gridCol w:w="1799"/>
      </w:tblGrid>
      <w:tr w:rsidR="00A17ADF">
        <w:trPr>
          <w:trHeight w:val="526"/>
          <w:tblHeader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30" w:left="63" w:rightChars="30" w:right="6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  <w:t>刊名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30" w:left="63" w:rightChars="30" w:right="6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  <w:t>作者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1"/>
              </w:rPr>
              <w:t>年卷页码</w:t>
            </w:r>
          </w:p>
        </w:tc>
      </w:tr>
      <w:tr w:rsidR="00A17ADF">
        <w:trPr>
          <w:trHeight w:val="1189"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1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Modeling human transmissibility via nighttime light remote sensing for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i/>
                <w:iCs/>
                <w:szCs w:val="21"/>
              </w:rPr>
              <w:t>Hyphantria</w:t>
            </w:r>
            <w:proofErr w:type="spellEnd"/>
            <w:r>
              <w:rPr>
                <w:rFonts w:ascii="Times New Roman" w:eastAsia="仿宋_GB2312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i/>
                <w:iCs/>
                <w:szCs w:val="21"/>
              </w:rPr>
              <w:t>cunea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propagation pattern prediction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Ecological Informatics</w:t>
            </w:r>
          </w:p>
          <w:p w:rsidR="00A17ADF" w:rsidRDefault="00A17ADF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Jiangxia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Ye;Wenbin</w:t>
            </w:r>
            <w:proofErr w:type="spellEnd"/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Quan;Ruliang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Zhou; Ting 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Du;Lei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Shi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*</w:t>
            </w:r>
            <w:r>
              <w:rPr>
                <w:rFonts w:ascii="Times New Roman" w:eastAsia="仿宋_GB2312" w:hAnsi="Times New Roman" w:cs="Times New Roman"/>
                <w:szCs w:val="21"/>
              </w:rPr>
              <w:t>;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Xiaoyan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Wei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</w:rPr>
              <w:t>102522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页</w:t>
            </w:r>
          </w:p>
        </w:tc>
      </w:tr>
      <w:tr w:rsidR="00A17ADF">
        <w:trPr>
          <w:trHeight w:val="1738"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lastRenderedPageBreak/>
              <w:t>2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Optimized </w:t>
            </w:r>
            <w:r>
              <w:rPr>
                <w:rFonts w:ascii="Times New Roman" w:eastAsia="仿宋_GB2312" w:hAnsi="Times New Roman" w:cs="Times New Roman"/>
                <w:szCs w:val="21"/>
              </w:rPr>
              <w:t>stratification approach enhances the weight-of-evidence</w:t>
            </w:r>
          </w:p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method: Transparently uncovering wildfire probability and drivers-wildfire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relationships in the southwest mountains of China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Ecological Indicators</w:t>
            </w:r>
          </w:p>
          <w:p w:rsidR="00A17ADF" w:rsidRDefault="00A17ADF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Wenquan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Wang;Xiangyang</w:t>
            </w:r>
            <w:proofErr w:type="spellEnd"/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Fang;Xiaoyan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Wei;Jiangxia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Ye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卷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111500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页</w:t>
            </w:r>
          </w:p>
        </w:tc>
      </w:tr>
      <w:tr w:rsidR="00A17ADF">
        <w:trPr>
          <w:trHeight w:val="1341"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3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Discriminant Analysis of the Damage Degree Caused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by Pine Shoot Beetle to Yunnan Pine Using</w:t>
            </w:r>
          </w:p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UAV-Based Hyperspectral Images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Forests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Mengying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Liu ;Zhonghe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 xml:space="preserve"> Zhang ;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Xuelian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Liu ; Jun Yao ; Ting Du ; </w:t>
            </w:r>
            <w:proofErr w:type="spellStart"/>
            <w:r>
              <w:rPr>
                <w:rFonts w:ascii="Times New Roman" w:eastAsia="仿宋_GB2312" w:hAnsi="Times New Roman" w:cs="Times New Roman"/>
                <w:szCs w:val="21"/>
              </w:rPr>
              <w:t>Yunqiang</w:t>
            </w:r>
            <w:proofErr w:type="spellEnd"/>
            <w:r>
              <w:rPr>
                <w:rFonts w:ascii="Times New Roman" w:eastAsia="仿宋_GB2312" w:hAnsi="Times New Roman" w:cs="Times New Roman"/>
                <w:szCs w:val="21"/>
              </w:rPr>
              <w:t xml:space="preserve"> Ma ; Lei Shi</w:t>
            </w:r>
            <w:r>
              <w:rPr>
                <w:rFonts w:ascii="Times New Roman" w:eastAsia="仿宋_GB2312" w:hAnsi="Times New Roman" w:cs="Times New Roman"/>
                <w:szCs w:val="21"/>
              </w:rPr>
              <w:t>*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A17ADF" w:rsidRDefault="00A17ADF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1258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4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基于空间矩阵模型及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~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测度的美国白蛾风险格局分析</w:t>
            </w:r>
          </w:p>
          <w:p w:rsidR="00A17ADF" w:rsidRDefault="00A17ADF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</w:rPr>
            </w:pP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林业科学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叶江霞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王敬文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张明莎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周汝良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石雷</w:t>
            </w:r>
            <w:r>
              <w:rPr>
                <w:rFonts w:ascii="宋体" w:eastAsia="宋体" w:hAnsi="宋体" w:cs="宋体" w:hint="eastAsia"/>
              </w:rPr>
              <w:t>*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57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卷第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141-152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5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基于地形、水热指标的陆地生物多样性富集度评估——以云南为例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云南大学学报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自然科学版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)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357" w:rightChars="-30" w:right="-63" w:hangingChars="200" w:hanging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王艳霞</w:t>
            </w:r>
            <w:r>
              <w:rPr>
                <w:rFonts w:ascii="宋体" w:eastAsia="宋体" w:hAnsi="宋体" w:cs="宋体" w:hint="eastAsia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szCs w:val="21"/>
              </w:rPr>
              <w:t>丁琨</w:t>
            </w:r>
            <w:r>
              <w:rPr>
                <w:rFonts w:ascii="宋体" w:eastAsia="宋体" w:hAnsi="宋体" w:cs="宋体" w:hint="eastAsia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szCs w:val="21"/>
              </w:rPr>
              <w:t>周汝良</w:t>
            </w:r>
            <w:r>
              <w:rPr>
                <w:rFonts w:ascii="宋体" w:eastAsia="宋体" w:hAnsi="宋体" w:cs="宋体" w:hint="eastAsia"/>
              </w:rPr>
              <w:t>*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39</w:t>
            </w:r>
            <w:r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</w:rPr>
              <w:t>481-493</w:t>
            </w:r>
            <w:r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</w:tr>
      <w:tr w:rsidR="00A17ADF"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6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年轿子山自然保护区人为活动遥感监测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生态与农村环境学报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张明莎</w:t>
            </w:r>
            <w:r>
              <w:rPr>
                <w:rFonts w:ascii="宋体" w:eastAsia="宋体" w:hAnsi="宋体" w:cs="宋体" w:hint="eastAsia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</w:rPr>
              <w:t>刘乾飞</w:t>
            </w:r>
            <w:proofErr w:type="gramEnd"/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王敬文</w:t>
            </w:r>
            <w:r>
              <w:rPr>
                <w:rFonts w:ascii="宋体" w:eastAsia="宋体" w:hAnsi="宋体" w:cs="宋体" w:hint="eastAsia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―颖</w:t>
            </w:r>
            <w:r>
              <w:rPr>
                <w:rFonts w:ascii="宋体" w:eastAsia="宋体" w:hAnsi="宋体" w:cs="宋体" w:hint="eastAsia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</w:rPr>
              <w:t>柏智刚</w:t>
            </w:r>
            <w:proofErr w:type="gramEnd"/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叶江</w:t>
            </w:r>
            <w:r>
              <w:rPr>
                <w:rFonts w:ascii="宋体" w:eastAsia="宋体" w:hAnsi="宋体" w:cs="宋体" w:hint="eastAsia"/>
              </w:rPr>
              <w:t>霞</w:t>
            </w:r>
            <w:r>
              <w:rPr>
                <w:rFonts w:ascii="宋体" w:eastAsia="宋体" w:hAnsi="宋体" w:cs="宋体" w:hint="eastAsia"/>
              </w:rPr>
              <w:t>*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36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1097-1105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7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拉市海高原湿地省级自然保护区保护成效评估研究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林业资源管理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郑骁</w:t>
            </w:r>
            <w:proofErr w:type="gramStart"/>
            <w:r>
              <w:rPr>
                <w:rFonts w:ascii="宋体" w:eastAsia="宋体" w:hAnsi="宋体" w:cs="宋体" w:hint="eastAsia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王智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张建亮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董良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张志勇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叶江霞</w:t>
            </w:r>
            <w:r>
              <w:rPr>
                <w:rFonts w:ascii="宋体" w:eastAsia="宋体" w:hAnsi="宋体" w:cs="宋体" w:hint="eastAsia"/>
              </w:rPr>
              <w:t>;</w:t>
            </w:r>
          </w:p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周汝良</w:t>
            </w:r>
            <w:r>
              <w:rPr>
                <w:rFonts w:ascii="宋体" w:eastAsia="宋体" w:hAnsi="宋体" w:cs="宋体" w:hint="eastAsia"/>
              </w:rPr>
              <w:t>*.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2018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80-89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rPr>
          <w:trHeight w:val="418"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8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云南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个自然保护区生态系统构成及景观格局变化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西南林业大学学报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王艳霞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叶江霞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黄晓园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周汝良</w:t>
            </w:r>
            <w:r>
              <w:rPr>
                <w:rFonts w:ascii="宋体" w:eastAsia="宋体" w:hAnsi="宋体" w:cs="宋体" w:hint="eastAsia"/>
              </w:rPr>
              <w:t>*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36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</w:rPr>
              <w:t>-104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9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云南省地形隆起高度与切割深度分析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重庆师范大学学报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自然科学版</w:t>
            </w:r>
            <w:r>
              <w:rPr>
                <w:rFonts w:ascii="宋体" w:eastAsia="宋体" w:hAnsi="宋体" w:cs="宋体" w:hint="eastAsia"/>
              </w:rPr>
              <w:t>)</w:t>
            </w:r>
          </w:p>
          <w:p w:rsidR="00A17ADF" w:rsidRDefault="00A17ADF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肖丽琼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周汝良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龙晓敏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田园</w:t>
            </w:r>
            <w:r>
              <w:rPr>
                <w:rFonts w:ascii="宋体" w:eastAsia="宋体" w:hAnsi="宋体" w:cs="宋体" w:hint="eastAsia"/>
              </w:rPr>
              <w:t>.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152-160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页</w:t>
            </w:r>
          </w:p>
        </w:tc>
      </w:tr>
      <w:tr w:rsidR="00A17ADF">
        <w:trPr>
          <w:trHeight w:val="880"/>
        </w:trPr>
        <w:tc>
          <w:tcPr>
            <w:tcW w:w="360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1"/>
              </w:rPr>
              <w:t>10</w:t>
            </w:r>
          </w:p>
        </w:tc>
        <w:tc>
          <w:tcPr>
            <w:tcW w:w="1819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基于神经网络优化算法的云南土壤有机质含量数字制图——以景洪市为例</w:t>
            </w:r>
          </w:p>
        </w:tc>
        <w:tc>
          <w:tcPr>
            <w:tcW w:w="68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土壤通报</w:t>
            </w:r>
          </w:p>
        </w:tc>
        <w:tc>
          <w:tcPr>
            <w:tcW w:w="1228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30" w:left="-63" w:rightChars="-30" w:right="-63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杨晋帆</w:t>
            </w:r>
            <w:proofErr w:type="gramEnd"/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杨阳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刘婷婷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周汝良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王艳霞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叶江霞</w:t>
            </w:r>
            <w:r>
              <w:rPr>
                <w:rFonts w:ascii="宋体" w:eastAsia="宋体" w:hAnsi="宋体" w:cs="宋体" w:hint="eastAsia"/>
              </w:rPr>
              <w:t>.</w:t>
            </w:r>
          </w:p>
        </w:tc>
        <w:tc>
          <w:tcPr>
            <w:tcW w:w="902" w:type="pct"/>
            <w:vAlign w:val="center"/>
          </w:tcPr>
          <w:p w:rsidR="00A17ADF" w:rsidRDefault="00741040">
            <w:pPr>
              <w:tabs>
                <w:tab w:val="center" w:pos="7513"/>
              </w:tabs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2023</w:t>
            </w:r>
            <w:r>
              <w:rPr>
                <w:rFonts w:ascii="Times New Roman" w:eastAsia="宋体" w:hAnsi="Times New Roman" w:cs="Times New Roman"/>
              </w:rPr>
              <w:t>年第</w:t>
            </w:r>
            <w:r>
              <w:rPr>
                <w:rFonts w:ascii="Times New Roman" w:eastAsia="宋体" w:hAnsi="Times New Roman" w:cs="Times New Roman"/>
              </w:rPr>
              <w:t>54</w:t>
            </w:r>
            <w:r>
              <w:rPr>
                <w:rFonts w:ascii="Times New Roman" w:eastAsia="宋体" w:hAnsi="Times New Roman" w:cs="Times New Roman"/>
              </w:rPr>
              <w:t>卷</w:t>
            </w:r>
            <w:r>
              <w:rPr>
                <w:rFonts w:ascii="Times New Roman" w:eastAsia="宋体" w:hAnsi="Times New Roman" w:cs="Times New Roman"/>
              </w:rPr>
              <w:t>02</w:t>
            </w:r>
            <w:r>
              <w:rPr>
                <w:rFonts w:ascii="Times New Roman" w:eastAsia="宋体" w:hAnsi="Times New Roman" w:cs="Times New Roman"/>
              </w:rPr>
              <w:t>期</w:t>
            </w:r>
            <w:r>
              <w:rPr>
                <w:rFonts w:ascii="Times New Roman" w:eastAsia="宋体" w:hAnsi="Times New Roman" w:cs="Times New Roman"/>
              </w:rPr>
              <w:t>274-285</w:t>
            </w:r>
            <w:r>
              <w:rPr>
                <w:rFonts w:ascii="Times New Roman" w:eastAsia="宋体" w:hAnsi="Times New Roman" w:cs="Times New Roman"/>
              </w:rPr>
              <w:t>页</w:t>
            </w:r>
          </w:p>
        </w:tc>
      </w:tr>
    </w:tbl>
    <w:p w:rsidR="00A17ADF" w:rsidRDefault="00A17ADF">
      <w:pPr>
        <w:keepNext/>
        <w:tabs>
          <w:tab w:val="center" w:pos="7513"/>
        </w:tabs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sectPr w:rsidR="00A17A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ONGS--GB1-5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mOWJlY2FhNDNkYzQxYzAzYjJmMmE1NjI5NTNiNDAifQ=="/>
  </w:docVars>
  <w:rsids>
    <w:rsidRoot w:val="00CB2330"/>
    <w:rsid w:val="00006AA9"/>
    <w:rsid w:val="00023DD5"/>
    <w:rsid w:val="00032F63"/>
    <w:rsid w:val="0003543D"/>
    <w:rsid w:val="00035481"/>
    <w:rsid w:val="00050E35"/>
    <w:rsid w:val="00051A87"/>
    <w:rsid w:val="0007717D"/>
    <w:rsid w:val="000977C5"/>
    <w:rsid w:val="000B0083"/>
    <w:rsid w:val="000C3508"/>
    <w:rsid w:val="000D2568"/>
    <w:rsid w:val="000D36B2"/>
    <w:rsid w:val="000D4F86"/>
    <w:rsid w:val="000E14BC"/>
    <w:rsid w:val="000E2B30"/>
    <w:rsid w:val="000F3930"/>
    <w:rsid w:val="001071B1"/>
    <w:rsid w:val="00115407"/>
    <w:rsid w:val="00116FFD"/>
    <w:rsid w:val="0012177A"/>
    <w:rsid w:val="0014740C"/>
    <w:rsid w:val="0014746B"/>
    <w:rsid w:val="00172565"/>
    <w:rsid w:val="00174AF0"/>
    <w:rsid w:val="001839E1"/>
    <w:rsid w:val="001B30A6"/>
    <w:rsid w:val="001B3620"/>
    <w:rsid w:val="001C0FBF"/>
    <w:rsid w:val="001C328D"/>
    <w:rsid w:val="001C5869"/>
    <w:rsid w:val="001E2CD3"/>
    <w:rsid w:val="001E31ED"/>
    <w:rsid w:val="001E5B3B"/>
    <w:rsid w:val="001E6304"/>
    <w:rsid w:val="0020218C"/>
    <w:rsid w:val="00223039"/>
    <w:rsid w:val="00234F08"/>
    <w:rsid w:val="00244AAE"/>
    <w:rsid w:val="00254917"/>
    <w:rsid w:val="00263898"/>
    <w:rsid w:val="0028137A"/>
    <w:rsid w:val="002825EC"/>
    <w:rsid w:val="002915DD"/>
    <w:rsid w:val="002A2394"/>
    <w:rsid w:val="002A3C41"/>
    <w:rsid w:val="002B16CF"/>
    <w:rsid w:val="002C1BAA"/>
    <w:rsid w:val="002C2337"/>
    <w:rsid w:val="002D35A3"/>
    <w:rsid w:val="002E0433"/>
    <w:rsid w:val="002F65D1"/>
    <w:rsid w:val="00300B79"/>
    <w:rsid w:val="003102DA"/>
    <w:rsid w:val="00312206"/>
    <w:rsid w:val="00313A05"/>
    <w:rsid w:val="003177A1"/>
    <w:rsid w:val="00341742"/>
    <w:rsid w:val="00345376"/>
    <w:rsid w:val="00360AFD"/>
    <w:rsid w:val="003613F3"/>
    <w:rsid w:val="00363DAE"/>
    <w:rsid w:val="0038082A"/>
    <w:rsid w:val="00382AF1"/>
    <w:rsid w:val="0038405E"/>
    <w:rsid w:val="003A1A36"/>
    <w:rsid w:val="003C317C"/>
    <w:rsid w:val="003E3F2E"/>
    <w:rsid w:val="003F0458"/>
    <w:rsid w:val="003F1DBE"/>
    <w:rsid w:val="003F5EF2"/>
    <w:rsid w:val="00413413"/>
    <w:rsid w:val="00423352"/>
    <w:rsid w:val="00424A86"/>
    <w:rsid w:val="00460D80"/>
    <w:rsid w:val="00477383"/>
    <w:rsid w:val="00481EF7"/>
    <w:rsid w:val="00487346"/>
    <w:rsid w:val="004A0E1E"/>
    <w:rsid w:val="004A27C5"/>
    <w:rsid w:val="004A4DCB"/>
    <w:rsid w:val="004C460E"/>
    <w:rsid w:val="004C5D13"/>
    <w:rsid w:val="004D1C16"/>
    <w:rsid w:val="004E486C"/>
    <w:rsid w:val="004F051C"/>
    <w:rsid w:val="00500A26"/>
    <w:rsid w:val="00505DC1"/>
    <w:rsid w:val="00505EC7"/>
    <w:rsid w:val="00517833"/>
    <w:rsid w:val="00521523"/>
    <w:rsid w:val="00535700"/>
    <w:rsid w:val="00551078"/>
    <w:rsid w:val="00551CF6"/>
    <w:rsid w:val="0055567E"/>
    <w:rsid w:val="00555DD6"/>
    <w:rsid w:val="00564664"/>
    <w:rsid w:val="00585C52"/>
    <w:rsid w:val="0058740A"/>
    <w:rsid w:val="005908C9"/>
    <w:rsid w:val="005A5E3F"/>
    <w:rsid w:val="005D59BB"/>
    <w:rsid w:val="005D6514"/>
    <w:rsid w:val="005E0DB1"/>
    <w:rsid w:val="005E2454"/>
    <w:rsid w:val="005F7D77"/>
    <w:rsid w:val="00615A00"/>
    <w:rsid w:val="00615A33"/>
    <w:rsid w:val="006164DE"/>
    <w:rsid w:val="00616B8D"/>
    <w:rsid w:val="00624E64"/>
    <w:rsid w:val="00634BE5"/>
    <w:rsid w:val="00637B3A"/>
    <w:rsid w:val="00664591"/>
    <w:rsid w:val="00672D30"/>
    <w:rsid w:val="006A169D"/>
    <w:rsid w:val="006A2B90"/>
    <w:rsid w:val="006A4C3F"/>
    <w:rsid w:val="006B5E0D"/>
    <w:rsid w:val="006D5381"/>
    <w:rsid w:val="006D5967"/>
    <w:rsid w:val="006D7BF8"/>
    <w:rsid w:val="006F3348"/>
    <w:rsid w:val="006F4300"/>
    <w:rsid w:val="00704B13"/>
    <w:rsid w:val="0072135D"/>
    <w:rsid w:val="00724C4C"/>
    <w:rsid w:val="00727D11"/>
    <w:rsid w:val="00736217"/>
    <w:rsid w:val="00741040"/>
    <w:rsid w:val="0074260B"/>
    <w:rsid w:val="00745A94"/>
    <w:rsid w:val="00750942"/>
    <w:rsid w:val="00752EAD"/>
    <w:rsid w:val="00762A2F"/>
    <w:rsid w:val="0076307D"/>
    <w:rsid w:val="00772406"/>
    <w:rsid w:val="00772BA8"/>
    <w:rsid w:val="00776EFA"/>
    <w:rsid w:val="00777A3B"/>
    <w:rsid w:val="00786FB7"/>
    <w:rsid w:val="007B1867"/>
    <w:rsid w:val="007B703C"/>
    <w:rsid w:val="007C3362"/>
    <w:rsid w:val="007E493A"/>
    <w:rsid w:val="007F74C6"/>
    <w:rsid w:val="008138B8"/>
    <w:rsid w:val="00813C2B"/>
    <w:rsid w:val="0081488B"/>
    <w:rsid w:val="0083196A"/>
    <w:rsid w:val="00837A3B"/>
    <w:rsid w:val="00840242"/>
    <w:rsid w:val="008553DC"/>
    <w:rsid w:val="00870701"/>
    <w:rsid w:val="00872B00"/>
    <w:rsid w:val="008751F8"/>
    <w:rsid w:val="00876364"/>
    <w:rsid w:val="008826C3"/>
    <w:rsid w:val="008A52FE"/>
    <w:rsid w:val="008A77E9"/>
    <w:rsid w:val="008B015F"/>
    <w:rsid w:val="008B08ED"/>
    <w:rsid w:val="008B2D66"/>
    <w:rsid w:val="008B5015"/>
    <w:rsid w:val="008C6FEF"/>
    <w:rsid w:val="008E4255"/>
    <w:rsid w:val="008F52E0"/>
    <w:rsid w:val="0090205B"/>
    <w:rsid w:val="0090727B"/>
    <w:rsid w:val="00912C3F"/>
    <w:rsid w:val="00931456"/>
    <w:rsid w:val="0094062F"/>
    <w:rsid w:val="00945044"/>
    <w:rsid w:val="0095700C"/>
    <w:rsid w:val="00960EE4"/>
    <w:rsid w:val="0096295D"/>
    <w:rsid w:val="009865D0"/>
    <w:rsid w:val="00992289"/>
    <w:rsid w:val="00993294"/>
    <w:rsid w:val="009A3A2D"/>
    <w:rsid w:val="009A6E6D"/>
    <w:rsid w:val="009C563C"/>
    <w:rsid w:val="009D614A"/>
    <w:rsid w:val="009F0FF4"/>
    <w:rsid w:val="00A103EA"/>
    <w:rsid w:val="00A17193"/>
    <w:rsid w:val="00A17ADF"/>
    <w:rsid w:val="00A21BD6"/>
    <w:rsid w:val="00A2284B"/>
    <w:rsid w:val="00A32F6B"/>
    <w:rsid w:val="00A34040"/>
    <w:rsid w:val="00A425B2"/>
    <w:rsid w:val="00A46AF6"/>
    <w:rsid w:val="00A5630E"/>
    <w:rsid w:val="00A62641"/>
    <w:rsid w:val="00A6320F"/>
    <w:rsid w:val="00A70478"/>
    <w:rsid w:val="00A71FFC"/>
    <w:rsid w:val="00A769AA"/>
    <w:rsid w:val="00A8107E"/>
    <w:rsid w:val="00A8421C"/>
    <w:rsid w:val="00A8460C"/>
    <w:rsid w:val="00AA3D5C"/>
    <w:rsid w:val="00AA4F4C"/>
    <w:rsid w:val="00AA511B"/>
    <w:rsid w:val="00AB0710"/>
    <w:rsid w:val="00B0068B"/>
    <w:rsid w:val="00B0071D"/>
    <w:rsid w:val="00B0358B"/>
    <w:rsid w:val="00B14A9C"/>
    <w:rsid w:val="00B31DFC"/>
    <w:rsid w:val="00B33BDD"/>
    <w:rsid w:val="00B3705D"/>
    <w:rsid w:val="00B42EBB"/>
    <w:rsid w:val="00B5050E"/>
    <w:rsid w:val="00B5097D"/>
    <w:rsid w:val="00B57F60"/>
    <w:rsid w:val="00B61773"/>
    <w:rsid w:val="00B63F0D"/>
    <w:rsid w:val="00B649AC"/>
    <w:rsid w:val="00B72630"/>
    <w:rsid w:val="00B902BA"/>
    <w:rsid w:val="00BA560B"/>
    <w:rsid w:val="00BA656C"/>
    <w:rsid w:val="00BC2DE5"/>
    <w:rsid w:val="00BC49D1"/>
    <w:rsid w:val="00BD538F"/>
    <w:rsid w:val="00BD55E8"/>
    <w:rsid w:val="00BE0559"/>
    <w:rsid w:val="00BF33ED"/>
    <w:rsid w:val="00BF5BEE"/>
    <w:rsid w:val="00C00BA5"/>
    <w:rsid w:val="00C11D81"/>
    <w:rsid w:val="00C1584B"/>
    <w:rsid w:val="00C20DD7"/>
    <w:rsid w:val="00C26A7B"/>
    <w:rsid w:val="00C4545D"/>
    <w:rsid w:val="00C46359"/>
    <w:rsid w:val="00C4638C"/>
    <w:rsid w:val="00C47680"/>
    <w:rsid w:val="00C57FE6"/>
    <w:rsid w:val="00C66B1D"/>
    <w:rsid w:val="00C750F4"/>
    <w:rsid w:val="00C94C70"/>
    <w:rsid w:val="00C94FA4"/>
    <w:rsid w:val="00CA139C"/>
    <w:rsid w:val="00CB2330"/>
    <w:rsid w:val="00CC2920"/>
    <w:rsid w:val="00CD32D4"/>
    <w:rsid w:val="00CE43D0"/>
    <w:rsid w:val="00CF6875"/>
    <w:rsid w:val="00D0129C"/>
    <w:rsid w:val="00D020FF"/>
    <w:rsid w:val="00D1776E"/>
    <w:rsid w:val="00D17CC7"/>
    <w:rsid w:val="00D26CE5"/>
    <w:rsid w:val="00D34ECC"/>
    <w:rsid w:val="00D3699F"/>
    <w:rsid w:val="00D439DD"/>
    <w:rsid w:val="00D65DC2"/>
    <w:rsid w:val="00D6600A"/>
    <w:rsid w:val="00D90785"/>
    <w:rsid w:val="00DA275E"/>
    <w:rsid w:val="00DA3994"/>
    <w:rsid w:val="00DA5A39"/>
    <w:rsid w:val="00DB11E9"/>
    <w:rsid w:val="00DB1468"/>
    <w:rsid w:val="00DD4E2D"/>
    <w:rsid w:val="00DD6E05"/>
    <w:rsid w:val="00DE2581"/>
    <w:rsid w:val="00DE5B13"/>
    <w:rsid w:val="00DF2B04"/>
    <w:rsid w:val="00E05A43"/>
    <w:rsid w:val="00E13D0C"/>
    <w:rsid w:val="00E1491C"/>
    <w:rsid w:val="00E26C28"/>
    <w:rsid w:val="00E3423E"/>
    <w:rsid w:val="00E5766F"/>
    <w:rsid w:val="00E57EA8"/>
    <w:rsid w:val="00E63D4A"/>
    <w:rsid w:val="00E71EEA"/>
    <w:rsid w:val="00E75F3B"/>
    <w:rsid w:val="00E773AD"/>
    <w:rsid w:val="00E8350E"/>
    <w:rsid w:val="00EA48AC"/>
    <w:rsid w:val="00EC26F4"/>
    <w:rsid w:val="00ED404E"/>
    <w:rsid w:val="00EE6C39"/>
    <w:rsid w:val="00EF4921"/>
    <w:rsid w:val="00EF5B85"/>
    <w:rsid w:val="00F02E5D"/>
    <w:rsid w:val="00F07E3A"/>
    <w:rsid w:val="00F31E73"/>
    <w:rsid w:val="00F3372A"/>
    <w:rsid w:val="00F73D65"/>
    <w:rsid w:val="00F75319"/>
    <w:rsid w:val="00F928F9"/>
    <w:rsid w:val="00FA5101"/>
    <w:rsid w:val="00FA6E4F"/>
    <w:rsid w:val="00FB319A"/>
    <w:rsid w:val="00FC18EF"/>
    <w:rsid w:val="00FC4803"/>
    <w:rsid w:val="00FD0C4D"/>
    <w:rsid w:val="00FE32DA"/>
    <w:rsid w:val="00FE4549"/>
    <w:rsid w:val="00FE6361"/>
    <w:rsid w:val="1459394B"/>
    <w:rsid w:val="22816428"/>
    <w:rsid w:val="3AE81717"/>
    <w:rsid w:val="5D0D3237"/>
    <w:rsid w:val="68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802BF-66F2-40CA-BB64-EC99CC79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纯文本 字符"/>
    <w:basedOn w:val="a0"/>
    <w:link w:val="a5"/>
    <w:autoRedefine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basedOn w:val="a0"/>
    <w:autoRedefine/>
    <w:rPr>
      <w:rFonts w:ascii="FZSONGS--GB1-5" w:hAnsi="FZSONGS--GB1-5" w:hint="default"/>
      <w:color w:val="000000"/>
      <w:sz w:val="24"/>
      <w:szCs w:val="24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ln>
          <a:noFill/>
        </a:ln>
      </a:spPr>
      <a:bodyPr wrap="none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DCB7-4CDE-4A69-9E3A-D5A7E71E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Dejin</dc:creator>
  <cp:lastModifiedBy>范鲁宁</cp:lastModifiedBy>
  <cp:revision>3</cp:revision>
  <cp:lastPrinted>2023-04-21T09:08:00Z</cp:lastPrinted>
  <dcterms:created xsi:type="dcterms:W3CDTF">2024-04-19T07:06:00Z</dcterms:created>
  <dcterms:modified xsi:type="dcterms:W3CDTF">2024-04-19T07:06:00Z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94B4BAD49EE846A1B8C599E3DD1E9C3D_13</vt:lpwstr>
  </property>
</Properties>
</file>