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55349">
      <w:pPr>
        <w:rPr>
          <w:rFonts w:ascii="Times New Roman" w:hAnsi="Times New Roman" w:eastAsia="仿宋" w:cs="Times New Roman"/>
          <w:sz w:val="32"/>
          <w:szCs w:val="32"/>
        </w:rPr>
      </w:pPr>
      <w:r>
        <w:rPr>
          <w:rFonts w:ascii="Times New Roman" w:hAnsi="Times New Roman" w:eastAsia="仿宋" w:cs="Times New Roman"/>
          <w:sz w:val="32"/>
          <w:szCs w:val="32"/>
        </w:rPr>
        <w:t>附件1</w:t>
      </w:r>
    </w:p>
    <w:p w14:paraId="21A9097D">
      <w:pPr>
        <w:widowControl/>
        <w:jc w:val="center"/>
        <w:rPr>
          <w:rFonts w:ascii="Times New Roman" w:hAnsi="Times New Roman" w:eastAsia="黑体" w:cs="Times New Roman"/>
          <w:sz w:val="36"/>
          <w:szCs w:val="36"/>
        </w:rPr>
      </w:pPr>
      <w:r>
        <w:rPr>
          <w:rFonts w:ascii="Times New Roman" w:hAnsi="Times New Roman" w:eastAsia="黑体" w:cs="Times New Roman"/>
          <w:sz w:val="36"/>
          <w:szCs w:val="36"/>
        </w:rPr>
        <w:t>华东区域危险废物环境风险防控技术中心</w:t>
      </w:r>
      <w:r>
        <w:rPr>
          <w:rFonts w:hint="eastAsia" w:ascii="Times New Roman" w:hAnsi="Times New Roman" w:eastAsia="黑体" w:cs="Times New Roman"/>
          <w:sz w:val="36"/>
          <w:szCs w:val="36"/>
        </w:rPr>
        <w:t>开放课题</w:t>
      </w:r>
    </w:p>
    <w:p w14:paraId="6CDDBE73">
      <w:pPr>
        <w:widowControl/>
        <w:jc w:val="center"/>
        <w:rPr>
          <w:rFonts w:ascii="Times New Roman" w:hAnsi="Times New Roman" w:eastAsia="黑体" w:cs="Times New Roman"/>
          <w:sz w:val="36"/>
          <w:szCs w:val="36"/>
        </w:rPr>
      </w:pPr>
      <w:r>
        <w:rPr>
          <w:rFonts w:ascii="Times New Roman" w:hAnsi="Times New Roman" w:eastAsia="黑体" w:cs="Times New Roman"/>
          <w:sz w:val="36"/>
          <w:szCs w:val="36"/>
        </w:rPr>
        <w:t>202</w:t>
      </w:r>
      <w:r>
        <w:rPr>
          <w:rFonts w:hint="eastAsia" w:ascii="Times New Roman" w:hAnsi="Times New Roman" w:eastAsia="黑体" w:cs="Times New Roman"/>
          <w:sz w:val="36"/>
          <w:szCs w:val="36"/>
        </w:rPr>
        <w:t>5</w:t>
      </w:r>
      <w:r>
        <w:rPr>
          <w:rFonts w:ascii="Times New Roman" w:hAnsi="Times New Roman" w:eastAsia="黑体" w:cs="Times New Roman"/>
          <w:sz w:val="36"/>
          <w:szCs w:val="36"/>
        </w:rPr>
        <w:t>年度“揭榜挂帅”项目榜单</w:t>
      </w:r>
    </w:p>
    <w:p w14:paraId="11E02AE8">
      <w:pPr>
        <w:rPr>
          <w:rFonts w:ascii="Times New Roman" w:hAnsi="Times New Roman" w:cs="Times New Roman"/>
          <w:sz w:val="32"/>
          <w:szCs w:val="32"/>
        </w:rPr>
      </w:pPr>
    </w:p>
    <w:p w14:paraId="5FDAB3C3">
      <w:pPr>
        <w:widowControl/>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项目需求</w:t>
      </w:r>
      <w:r>
        <w:rPr>
          <w:rFonts w:hint="eastAsia" w:ascii="Times New Roman" w:hAnsi="Times New Roman" w:eastAsia="黑体" w:cs="Times New Roman"/>
          <w:sz w:val="32"/>
          <w:szCs w:val="32"/>
        </w:rPr>
        <w:t>一</w:t>
      </w:r>
      <w:r>
        <w:rPr>
          <w:rFonts w:ascii="Times New Roman" w:hAnsi="Times New Roman" w:eastAsia="黑体" w:cs="Times New Roman"/>
          <w:sz w:val="32"/>
          <w:szCs w:val="32"/>
        </w:rPr>
        <w:t>：</w:t>
      </w:r>
      <w:r>
        <w:rPr>
          <w:rFonts w:hint="eastAsia" w:ascii="Times New Roman" w:hAnsi="Times New Roman" w:eastAsia="黑体" w:cs="Times New Roman"/>
          <w:sz w:val="32"/>
          <w:szCs w:val="32"/>
        </w:rPr>
        <w:t>含重金属废水</w:t>
      </w:r>
      <w:r>
        <w:rPr>
          <w:rFonts w:ascii="Times New Roman" w:hAnsi="Times New Roman" w:eastAsia="黑体" w:cs="Times New Roman"/>
          <w:sz w:val="32"/>
          <w:szCs w:val="32"/>
        </w:rPr>
        <w:t>应急</w:t>
      </w:r>
      <w:r>
        <w:rPr>
          <w:rFonts w:hint="eastAsia" w:ascii="Times New Roman" w:hAnsi="Times New Roman" w:eastAsia="黑体" w:cs="Times New Roman"/>
          <w:sz w:val="32"/>
          <w:szCs w:val="32"/>
        </w:rPr>
        <w:t>处置</w:t>
      </w:r>
      <w:r>
        <w:rPr>
          <w:rFonts w:ascii="Times New Roman" w:hAnsi="Times New Roman" w:eastAsia="黑体" w:cs="Times New Roman"/>
          <w:sz w:val="32"/>
          <w:szCs w:val="32"/>
        </w:rPr>
        <w:t>装备研发与应用</w:t>
      </w:r>
    </w:p>
    <w:p w14:paraId="642F237E">
      <w:pPr>
        <w:widowControl/>
        <w:numPr>
          <w:ilvl w:val="0"/>
          <w:numId w:val="1"/>
        </w:num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需求内容及技术指标要求</w:t>
      </w:r>
    </w:p>
    <w:p w14:paraId="335995EE">
      <w:pPr>
        <w:widowControl/>
        <w:spacing w:line="600" w:lineRule="exact"/>
        <w:ind w:firstLine="640" w:firstLineChars="200"/>
        <w:rPr>
          <w:rFonts w:ascii="Times New Roman" w:hAnsi="Times New Roman" w:eastAsia="仿宋" w:cs="Times New Roman"/>
          <w:color w:val="auto"/>
          <w:sz w:val="32"/>
          <w:szCs w:val="32"/>
          <w:highlight w:val="none"/>
        </w:rPr>
      </w:pPr>
      <w:bookmarkStart w:id="0" w:name="_GoBack"/>
      <w:bookmarkEnd w:id="0"/>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1</w:t>
      </w:r>
      <w:r>
        <w:rPr>
          <w:rFonts w:hint="eastAsia" w:ascii="Times New Roman" w:hAnsi="Times New Roman" w:eastAsia="仿宋" w:cs="Times New Roman"/>
          <w:color w:val="auto"/>
          <w:sz w:val="32"/>
          <w:szCs w:val="32"/>
          <w:highlight w:val="none"/>
          <w:lang w:eastAsia="zh-CN"/>
        </w:rPr>
        <w:t>）</w:t>
      </w:r>
      <w:r>
        <w:rPr>
          <w:rFonts w:ascii="Times New Roman" w:hAnsi="Times New Roman" w:eastAsia="仿宋" w:cs="Times New Roman"/>
          <w:color w:val="auto"/>
          <w:sz w:val="32"/>
          <w:szCs w:val="32"/>
          <w:highlight w:val="none"/>
        </w:rPr>
        <w:t>研发</w:t>
      </w:r>
      <w:r>
        <w:rPr>
          <w:rFonts w:hint="eastAsia" w:ascii="Times New Roman" w:hAnsi="Times New Roman" w:eastAsia="仿宋" w:cs="Times New Roman"/>
          <w:color w:val="auto"/>
          <w:sz w:val="32"/>
          <w:szCs w:val="32"/>
          <w:highlight w:val="none"/>
        </w:rPr>
        <w:t>含重金属废水应急处置装备</w:t>
      </w:r>
      <w:r>
        <w:rPr>
          <w:rFonts w:hint="eastAsia" w:ascii="Times New Roman" w:hAnsi="Times New Roman" w:eastAsia="仿宋" w:cs="Times New Roman"/>
          <w:color w:val="auto"/>
          <w:sz w:val="32"/>
          <w:szCs w:val="32"/>
          <w:highlight w:val="none"/>
          <w:lang w:val="en-US" w:eastAsia="zh-CN"/>
        </w:rPr>
        <w:t>用于中试研究及小流量应急场景</w:t>
      </w:r>
      <w:r>
        <w:rPr>
          <w:rFonts w:ascii="Times New Roman" w:hAnsi="Times New Roman" w:eastAsia="仿宋" w:cs="Times New Roman"/>
          <w:color w:val="auto"/>
          <w:sz w:val="32"/>
          <w:szCs w:val="32"/>
          <w:highlight w:val="none"/>
        </w:rPr>
        <w:t>，主要包括</w:t>
      </w:r>
      <w:r>
        <w:rPr>
          <w:rFonts w:hint="eastAsia" w:ascii="Times New Roman" w:hAnsi="Times New Roman" w:eastAsia="仿宋" w:cs="Times New Roman"/>
          <w:color w:val="auto"/>
          <w:sz w:val="32"/>
          <w:szCs w:val="32"/>
          <w:highlight w:val="none"/>
        </w:rPr>
        <w:t>进水过滤</w:t>
      </w:r>
      <w:r>
        <w:rPr>
          <w:rFonts w:ascii="Times New Roman" w:hAnsi="Times New Roman" w:eastAsia="仿宋" w:cs="Times New Roman"/>
          <w:color w:val="auto"/>
          <w:sz w:val="32"/>
          <w:szCs w:val="32"/>
          <w:highlight w:val="none"/>
        </w:rPr>
        <w:t>模块、</w:t>
      </w:r>
      <w:r>
        <w:rPr>
          <w:rFonts w:hint="eastAsia" w:ascii="Times New Roman" w:hAnsi="Times New Roman" w:eastAsia="仿宋" w:cs="Times New Roman"/>
          <w:color w:val="auto"/>
          <w:sz w:val="32"/>
          <w:szCs w:val="32"/>
          <w:highlight w:val="none"/>
        </w:rPr>
        <w:t>吸附</w:t>
      </w:r>
      <w:r>
        <w:rPr>
          <w:rFonts w:ascii="Times New Roman" w:hAnsi="Times New Roman" w:eastAsia="仿宋" w:cs="Times New Roman"/>
          <w:color w:val="auto"/>
          <w:sz w:val="32"/>
          <w:szCs w:val="32"/>
          <w:highlight w:val="none"/>
        </w:rPr>
        <w:t>模块、</w:t>
      </w:r>
      <w:r>
        <w:rPr>
          <w:rFonts w:hint="eastAsia" w:ascii="Times New Roman" w:hAnsi="Times New Roman" w:eastAsia="仿宋" w:cs="Times New Roman"/>
          <w:color w:val="auto"/>
          <w:sz w:val="32"/>
          <w:szCs w:val="32"/>
          <w:highlight w:val="none"/>
        </w:rPr>
        <w:t>脱附</w:t>
      </w:r>
      <w:r>
        <w:rPr>
          <w:rFonts w:ascii="Times New Roman" w:hAnsi="Times New Roman" w:eastAsia="仿宋" w:cs="Times New Roman"/>
          <w:color w:val="auto"/>
          <w:sz w:val="32"/>
          <w:szCs w:val="32"/>
          <w:highlight w:val="none"/>
        </w:rPr>
        <w:t>模块、</w:t>
      </w:r>
      <w:r>
        <w:rPr>
          <w:rFonts w:hint="eastAsia" w:ascii="Times New Roman" w:hAnsi="Times New Roman" w:eastAsia="仿宋" w:cs="Times New Roman"/>
          <w:color w:val="auto"/>
          <w:sz w:val="32"/>
          <w:szCs w:val="32"/>
          <w:highlight w:val="none"/>
        </w:rPr>
        <w:t>电气及</w:t>
      </w:r>
      <w:r>
        <w:rPr>
          <w:rFonts w:ascii="Times New Roman" w:hAnsi="Times New Roman" w:eastAsia="仿宋" w:cs="Times New Roman"/>
          <w:color w:val="auto"/>
          <w:sz w:val="32"/>
          <w:szCs w:val="32"/>
          <w:highlight w:val="none"/>
        </w:rPr>
        <w:t>控制系统模块，所有模块需为撬装式设备，满足安全设计参数。</w:t>
      </w:r>
    </w:p>
    <w:p w14:paraId="48C9C140">
      <w:pPr>
        <w:widowControl/>
        <w:spacing w:line="600" w:lineRule="exact"/>
        <w:ind w:firstLine="640" w:firstLineChars="200"/>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2</w:t>
      </w: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应急</w:t>
      </w:r>
      <w:r>
        <w:rPr>
          <w:rFonts w:hint="eastAsia" w:ascii="Times New Roman" w:hAnsi="Times New Roman" w:eastAsia="仿宋" w:cs="Times New Roman"/>
          <w:color w:val="auto"/>
          <w:sz w:val="32"/>
          <w:szCs w:val="32"/>
          <w:highlight w:val="none"/>
        </w:rPr>
        <w:t>处置</w:t>
      </w:r>
      <w:r>
        <w:rPr>
          <w:rFonts w:hint="eastAsia" w:ascii="Times New Roman" w:hAnsi="Times New Roman" w:eastAsia="仿宋" w:cs="Times New Roman"/>
          <w:color w:val="auto"/>
          <w:sz w:val="32"/>
          <w:szCs w:val="32"/>
          <w:highlight w:val="none"/>
          <w:lang w:val="en-US" w:eastAsia="zh-CN"/>
        </w:rPr>
        <w:t>装备</w:t>
      </w:r>
      <w:r>
        <w:rPr>
          <w:rFonts w:hint="eastAsia" w:ascii="Times New Roman" w:hAnsi="Times New Roman" w:eastAsia="仿宋" w:cs="Times New Roman"/>
          <w:color w:val="auto"/>
          <w:sz w:val="32"/>
          <w:szCs w:val="32"/>
          <w:highlight w:val="none"/>
        </w:rPr>
        <w:t>设计</w:t>
      </w:r>
      <w:r>
        <w:rPr>
          <w:rFonts w:ascii="Times New Roman" w:hAnsi="Times New Roman" w:eastAsia="仿宋" w:cs="Times New Roman"/>
          <w:color w:val="auto"/>
          <w:sz w:val="32"/>
          <w:szCs w:val="32"/>
          <w:highlight w:val="none"/>
        </w:rPr>
        <w:t>处理能力</w:t>
      </w:r>
      <w:r>
        <w:rPr>
          <w:rFonts w:hint="eastAsia" w:ascii="Times New Roman" w:hAnsi="Times New Roman" w:eastAsia="仿宋" w:cs="Times New Roman"/>
          <w:color w:val="auto"/>
          <w:sz w:val="32"/>
          <w:szCs w:val="32"/>
          <w:highlight w:val="none"/>
        </w:rPr>
        <w:t>不低于50L/h</w:t>
      </w:r>
      <w:r>
        <w:rPr>
          <w:rFonts w:ascii="Times New Roman" w:hAnsi="Times New Roman" w:eastAsia="仿宋" w:cs="Times New Roman"/>
          <w:color w:val="auto"/>
          <w:sz w:val="32"/>
          <w:szCs w:val="32"/>
          <w:highlight w:val="none"/>
        </w:rPr>
        <w:t>。</w:t>
      </w:r>
    </w:p>
    <w:p w14:paraId="0ED9A022">
      <w:pPr>
        <w:widowControl/>
        <w:spacing w:line="600" w:lineRule="exact"/>
        <w:ind w:firstLine="640" w:firstLineChars="200"/>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3</w:t>
      </w: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rPr>
        <w:t>原水过滤后满足</w:t>
      </w:r>
      <w:r>
        <w:rPr>
          <w:rFonts w:ascii="Times New Roman" w:hAnsi="Times New Roman" w:eastAsia="仿宋" w:cs="Times New Roman"/>
          <w:color w:val="auto"/>
          <w:sz w:val="32"/>
          <w:szCs w:val="32"/>
          <w:highlight w:val="none"/>
        </w:rPr>
        <w:t>进水浊度</w:t>
      </w:r>
      <w:r>
        <w:rPr>
          <w:rFonts w:hint="eastAsia" w:ascii="Times New Roman" w:hAnsi="Times New Roman" w:eastAsia="仿宋" w:cs="Times New Roman"/>
          <w:color w:val="auto"/>
          <w:sz w:val="32"/>
          <w:szCs w:val="32"/>
          <w:highlight w:val="none"/>
        </w:rPr>
        <w:t>≤1</w:t>
      </w:r>
      <w:r>
        <w:rPr>
          <w:rFonts w:ascii="Times New Roman" w:hAnsi="Times New Roman" w:eastAsia="仿宋" w:cs="Times New Roman"/>
          <w:color w:val="auto"/>
          <w:sz w:val="32"/>
          <w:szCs w:val="32"/>
          <w:highlight w:val="none"/>
        </w:rPr>
        <w:t>0 NTU。</w:t>
      </w:r>
      <w:r>
        <w:rPr>
          <w:rFonts w:hint="eastAsia" w:ascii="Times New Roman" w:hAnsi="Times New Roman" w:eastAsia="仿宋" w:cs="Times New Roman"/>
          <w:color w:val="auto"/>
          <w:sz w:val="32"/>
          <w:szCs w:val="32"/>
          <w:highlight w:val="none"/>
        </w:rPr>
        <w:t>过滤器的滤袋应易更换。</w:t>
      </w:r>
    </w:p>
    <w:p w14:paraId="3C4A0F6C">
      <w:pPr>
        <w:widowControl/>
        <w:spacing w:line="600" w:lineRule="exact"/>
        <w:ind w:firstLine="640" w:firstLineChars="200"/>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4</w:t>
      </w: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rPr>
        <w:t>吸附模块采用特种螯合树脂，对铜、镍、锌等主要重金属离子具备深度处理能力，</w:t>
      </w:r>
      <w:r>
        <w:rPr>
          <w:rFonts w:hint="eastAsia" w:ascii="Times New Roman" w:hAnsi="Times New Roman" w:eastAsia="仿宋" w:cs="Times New Roman"/>
          <w:color w:val="auto"/>
          <w:sz w:val="32"/>
          <w:szCs w:val="32"/>
          <w:highlight w:val="none"/>
          <w:lang w:val="en-US" w:eastAsia="zh-CN"/>
        </w:rPr>
        <w:t>树脂</w:t>
      </w:r>
      <w:r>
        <w:rPr>
          <w:rFonts w:hint="eastAsia" w:ascii="Times New Roman" w:hAnsi="Times New Roman" w:eastAsia="仿宋" w:cs="Times New Roman"/>
          <w:color w:val="auto"/>
          <w:sz w:val="32"/>
          <w:szCs w:val="32"/>
          <w:highlight w:val="none"/>
        </w:rPr>
        <w:t>使用寿命</w:t>
      </w:r>
      <w:r>
        <w:rPr>
          <w:rFonts w:hint="eastAsia" w:ascii="Times New Roman" w:hAnsi="Times New Roman" w:eastAsia="仿宋" w:cs="Times New Roman"/>
          <w:color w:val="auto"/>
          <w:sz w:val="32"/>
          <w:szCs w:val="32"/>
          <w:highlight w:val="none"/>
          <w:lang w:val="en-US" w:eastAsia="zh-CN"/>
        </w:rPr>
        <w:t>达</w:t>
      </w:r>
      <w:r>
        <w:rPr>
          <w:rFonts w:hint="eastAsia" w:ascii="Times New Roman" w:hAnsi="Times New Roman" w:eastAsia="仿宋" w:cs="Times New Roman"/>
          <w:color w:val="auto"/>
          <w:sz w:val="32"/>
          <w:szCs w:val="32"/>
          <w:highlight w:val="none"/>
        </w:rPr>
        <w:t>3~5年</w:t>
      </w: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rPr>
        <w:t>吸附系统设置双吸附柱</w:t>
      </w:r>
      <w:r>
        <w:rPr>
          <w:rFonts w:ascii="Times New Roman" w:hAnsi="Times New Roman" w:eastAsia="仿宋" w:cs="Times New Roman"/>
          <w:color w:val="auto"/>
          <w:sz w:val="32"/>
          <w:szCs w:val="32"/>
          <w:highlight w:val="none"/>
        </w:rPr>
        <w:t>模块化组件</w:t>
      </w:r>
      <w:r>
        <w:rPr>
          <w:rFonts w:hint="eastAsia" w:ascii="Times New Roman" w:hAnsi="Times New Roman" w:eastAsia="仿宋" w:cs="Times New Roman"/>
          <w:color w:val="auto"/>
          <w:sz w:val="32"/>
          <w:szCs w:val="32"/>
          <w:highlight w:val="none"/>
        </w:rPr>
        <w:t>，可实现两柱串联、并联快速切换。</w:t>
      </w:r>
      <w:r>
        <w:rPr>
          <w:rFonts w:hint="eastAsia" w:ascii="Times New Roman" w:hAnsi="Times New Roman" w:eastAsia="仿宋" w:cs="Times New Roman"/>
          <w:color w:val="auto"/>
          <w:sz w:val="32"/>
          <w:szCs w:val="32"/>
          <w:highlight w:val="none"/>
          <w:lang w:val="en-US" w:eastAsia="zh-CN"/>
        </w:rPr>
        <w:t>在</w:t>
      </w:r>
      <w:r>
        <w:rPr>
          <w:rFonts w:hint="eastAsia" w:ascii="Times New Roman" w:hAnsi="Times New Roman" w:eastAsia="仿宋" w:cs="Times New Roman"/>
          <w:color w:val="auto"/>
          <w:sz w:val="32"/>
          <w:szCs w:val="32"/>
          <w:highlight w:val="none"/>
        </w:rPr>
        <w:t>进水</w:t>
      </w:r>
      <w:r>
        <w:rPr>
          <w:rFonts w:hint="eastAsia" w:ascii="Times New Roman" w:hAnsi="Times New Roman" w:eastAsia="仿宋" w:cs="Times New Roman"/>
          <w:color w:val="auto"/>
          <w:sz w:val="32"/>
          <w:szCs w:val="32"/>
          <w:highlight w:val="none"/>
          <w:lang w:val="en-US" w:eastAsia="zh-CN"/>
        </w:rPr>
        <w:t>指标符合</w:t>
      </w:r>
      <w:r>
        <w:rPr>
          <w:rFonts w:hint="eastAsia" w:ascii="Times New Roman" w:hAnsi="Times New Roman" w:eastAsia="仿宋" w:cs="Times New Roman"/>
          <w:color w:val="auto"/>
          <w:sz w:val="32"/>
          <w:szCs w:val="32"/>
          <w:highlight w:val="none"/>
        </w:rPr>
        <w:t>《电镀污染物排放标准》（GB21900-2008）中表2标准</w:t>
      </w:r>
      <w:r>
        <w:rPr>
          <w:rFonts w:hint="eastAsia" w:ascii="Times New Roman" w:hAnsi="Times New Roman" w:eastAsia="仿宋" w:cs="Times New Roman"/>
          <w:color w:val="auto"/>
          <w:sz w:val="32"/>
          <w:szCs w:val="32"/>
          <w:highlight w:val="none"/>
          <w:lang w:val="en-US" w:eastAsia="zh-CN"/>
        </w:rPr>
        <w:t>的情况下，</w:t>
      </w:r>
      <w:r>
        <w:rPr>
          <w:rFonts w:ascii="Times New Roman" w:hAnsi="Times New Roman" w:eastAsia="仿宋" w:cs="Times New Roman"/>
          <w:color w:val="auto"/>
          <w:sz w:val="32"/>
          <w:szCs w:val="32"/>
          <w:highlight w:val="none"/>
        </w:rPr>
        <w:t>对</w:t>
      </w:r>
      <w:r>
        <w:rPr>
          <w:rFonts w:hint="eastAsia" w:ascii="Times New Roman" w:hAnsi="Times New Roman" w:eastAsia="仿宋" w:cs="Times New Roman"/>
          <w:color w:val="auto"/>
          <w:sz w:val="32"/>
          <w:szCs w:val="32"/>
          <w:highlight w:val="none"/>
        </w:rPr>
        <w:t>主要重金属处理后满足《电镀污染物排放标准》（GB21900-2008）中表3的排放标准。</w:t>
      </w:r>
    </w:p>
    <w:p w14:paraId="38101542">
      <w:pPr>
        <w:widowControl/>
        <w:spacing w:line="600" w:lineRule="exact"/>
        <w:ind w:firstLine="640" w:firstLineChars="200"/>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5</w:t>
      </w: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rPr>
        <w:t>使用特定脱附剂</w:t>
      </w:r>
      <w:r>
        <w:rPr>
          <w:rFonts w:ascii="Times New Roman" w:hAnsi="Times New Roman" w:eastAsia="仿宋" w:cs="Times New Roman"/>
          <w:color w:val="auto"/>
          <w:sz w:val="32"/>
          <w:szCs w:val="32"/>
          <w:highlight w:val="none"/>
        </w:rPr>
        <w:t>进行脱附，脱附率≥ 9</w:t>
      </w:r>
      <w:r>
        <w:rPr>
          <w:rFonts w:hint="eastAsia" w:ascii="Times New Roman" w:hAnsi="Times New Roman" w:eastAsia="仿宋" w:cs="Times New Roman"/>
          <w:color w:val="auto"/>
          <w:sz w:val="32"/>
          <w:szCs w:val="32"/>
          <w:highlight w:val="none"/>
        </w:rPr>
        <w:t>0</w:t>
      </w:r>
      <w:r>
        <w:rPr>
          <w:rFonts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每周期脱附时间应小于10h。</w:t>
      </w:r>
      <w:r>
        <w:rPr>
          <w:rFonts w:ascii="Times New Roman" w:hAnsi="Times New Roman" w:eastAsia="仿宋" w:cs="Times New Roman"/>
          <w:color w:val="auto"/>
          <w:sz w:val="32"/>
          <w:szCs w:val="32"/>
          <w:highlight w:val="none"/>
        </w:rPr>
        <w:t>设备与管道采用防腐材质，密闭设计，防止二次污染。</w:t>
      </w:r>
    </w:p>
    <w:p w14:paraId="2077001E">
      <w:pPr>
        <w:widowControl/>
        <w:spacing w:line="600" w:lineRule="exact"/>
        <w:ind w:firstLine="640" w:firstLineChars="200"/>
        <w:rPr>
          <w:rFonts w:hint="eastAsia"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6</w:t>
      </w: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rPr>
        <w:t>设备为撬装式设计，方便</w:t>
      </w:r>
      <w:r>
        <w:rPr>
          <w:rFonts w:ascii="Times New Roman" w:hAnsi="Times New Roman" w:eastAsia="仿宋" w:cs="Times New Roman"/>
          <w:color w:val="auto"/>
          <w:sz w:val="32"/>
          <w:szCs w:val="32"/>
          <w:highlight w:val="none"/>
        </w:rPr>
        <w:t>运输</w:t>
      </w:r>
      <w:r>
        <w:rPr>
          <w:rFonts w:hint="eastAsia" w:ascii="Times New Roman" w:hAnsi="Times New Roman" w:eastAsia="仿宋" w:cs="Times New Roman"/>
          <w:color w:val="auto"/>
          <w:sz w:val="32"/>
          <w:szCs w:val="32"/>
          <w:highlight w:val="none"/>
        </w:rPr>
        <w:t>，</w:t>
      </w:r>
      <w:r>
        <w:rPr>
          <w:rFonts w:ascii="Times New Roman" w:hAnsi="Times New Roman" w:eastAsia="仿宋" w:cs="Times New Roman"/>
          <w:color w:val="auto"/>
          <w:sz w:val="32"/>
          <w:szCs w:val="32"/>
          <w:highlight w:val="none"/>
        </w:rPr>
        <w:t>至现场接水电即可投入使用。运行不涉及强氧化药剂、有毒有害气体；全程密闭式处理，无泄漏、无废渣废气二次污染</w:t>
      </w:r>
      <w:r>
        <w:rPr>
          <w:rFonts w:hint="eastAsia" w:ascii="Times New Roman" w:hAnsi="Times New Roman" w:eastAsia="仿宋" w:cs="Times New Roman"/>
          <w:color w:val="auto"/>
          <w:sz w:val="32"/>
          <w:szCs w:val="32"/>
          <w:highlight w:val="none"/>
        </w:rPr>
        <w:t>。</w:t>
      </w:r>
    </w:p>
    <w:p w14:paraId="0839C475">
      <w:pPr>
        <w:widowControl/>
        <w:spacing w:line="600" w:lineRule="exact"/>
        <w:ind w:firstLine="640" w:firstLineChars="200"/>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7</w:t>
      </w: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rPr>
        <w:t>电气及控制系统模块</w:t>
      </w:r>
      <w:r>
        <w:rPr>
          <w:rFonts w:ascii="Times New Roman" w:hAnsi="Times New Roman" w:eastAsia="仿宋" w:cs="Times New Roman"/>
          <w:color w:val="auto"/>
          <w:sz w:val="32"/>
          <w:szCs w:val="32"/>
          <w:highlight w:val="none"/>
        </w:rPr>
        <w:t>，应满足《国家电气设备安全技术规范》（GB19517-20</w:t>
      </w:r>
      <w:r>
        <w:rPr>
          <w:rFonts w:hint="eastAsia" w:ascii="Times New Roman" w:hAnsi="Times New Roman" w:eastAsia="仿宋" w:cs="Times New Roman"/>
          <w:color w:val="auto"/>
          <w:sz w:val="32"/>
          <w:szCs w:val="32"/>
          <w:highlight w:val="none"/>
          <w:lang w:val="en-US" w:eastAsia="zh-CN"/>
        </w:rPr>
        <w:t>23</w:t>
      </w:r>
      <w:r>
        <w:rPr>
          <w:rFonts w:ascii="Times New Roman" w:hAnsi="Times New Roman" w:eastAsia="仿宋" w:cs="Times New Roman"/>
          <w:color w:val="auto"/>
          <w:sz w:val="32"/>
          <w:szCs w:val="32"/>
          <w:highlight w:val="none"/>
        </w:rPr>
        <w:t>）等规范要求，电气设备选型应遵循经济、节能等适配性原则；配有完备的安全保护系统，电气系统具有零位保护、过电流保护、短路保护等。</w:t>
      </w:r>
    </w:p>
    <w:p w14:paraId="7C13E406">
      <w:pPr>
        <w:widowControl/>
        <w:spacing w:line="600" w:lineRule="exact"/>
        <w:ind w:firstLine="640" w:firstLineChars="200"/>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8</w:t>
      </w:r>
      <w:r>
        <w:rPr>
          <w:rFonts w:hint="eastAsia" w:ascii="Times New Roman" w:hAnsi="Times New Roman" w:eastAsia="仿宋" w:cs="Times New Roman"/>
          <w:color w:val="auto"/>
          <w:sz w:val="32"/>
          <w:szCs w:val="32"/>
          <w:highlight w:val="none"/>
          <w:lang w:eastAsia="zh-CN"/>
        </w:rPr>
        <w:t>）</w:t>
      </w:r>
      <w:r>
        <w:rPr>
          <w:rFonts w:ascii="Times New Roman" w:hAnsi="Times New Roman" w:eastAsia="仿宋" w:cs="Times New Roman"/>
          <w:color w:val="auto"/>
          <w:sz w:val="32"/>
          <w:szCs w:val="32"/>
          <w:highlight w:val="none"/>
        </w:rPr>
        <w:t>装备的设计需满足以下工况：设备连续运行时间（需连续进料时间）≥</w:t>
      </w:r>
      <w:r>
        <w:rPr>
          <w:rFonts w:hint="eastAsia" w:ascii="Times New Roman" w:hAnsi="Times New Roman" w:eastAsia="仿宋" w:cs="Times New Roman"/>
          <w:color w:val="auto"/>
          <w:sz w:val="32"/>
          <w:szCs w:val="32"/>
          <w:highlight w:val="none"/>
          <w:lang w:val="en-US" w:eastAsia="zh-CN"/>
        </w:rPr>
        <w:t>72</w:t>
      </w:r>
      <w:r>
        <w:rPr>
          <w:rFonts w:ascii="Times New Roman" w:hAnsi="Times New Roman" w:eastAsia="仿宋" w:cs="Times New Roman"/>
          <w:color w:val="auto"/>
          <w:sz w:val="32"/>
          <w:szCs w:val="32"/>
          <w:highlight w:val="none"/>
        </w:rPr>
        <w:t>h；</w:t>
      </w:r>
      <w:r>
        <w:rPr>
          <w:rFonts w:hint="eastAsia" w:ascii="Times New Roman" w:hAnsi="Times New Roman" w:eastAsia="仿宋" w:cs="Times New Roman"/>
          <w:color w:val="auto"/>
          <w:sz w:val="32"/>
          <w:szCs w:val="32"/>
          <w:highlight w:val="none"/>
        </w:rPr>
        <w:t>脱附</w:t>
      </w:r>
      <w:r>
        <w:rPr>
          <w:rFonts w:ascii="Times New Roman" w:hAnsi="Times New Roman" w:eastAsia="仿宋" w:cs="Times New Roman"/>
          <w:color w:val="auto"/>
          <w:sz w:val="32"/>
          <w:szCs w:val="32"/>
          <w:highlight w:val="none"/>
        </w:rPr>
        <w:t>时间间隔≥</w:t>
      </w:r>
      <w:r>
        <w:rPr>
          <w:rFonts w:hint="eastAsia" w:ascii="Times New Roman" w:hAnsi="Times New Roman" w:eastAsia="仿宋" w:cs="Times New Roman"/>
          <w:color w:val="auto"/>
          <w:sz w:val="32"/>
          <w:szCs w:val="32"/>
          <w:highlight w:val="none"/>
          <w:lang w:val="en-US" w:eastAsia="zh-CN"/>
        </w:rPr>
        <w:t>48h</w:t>
      </w:r>
      <w:r>
        <w:rPr>
          <w:rFonts w:ascii="Times New Roman" w:hAnsi="Times New Roman" w:eastAsia="仿宋" w:cs="Times New Roman"/>
          <w:color w:val="auto"/>
          <w:sz w:val="32"/>
          <w:szCs w:val="32"/>
          <w:highlight w:val="none"/>
        </w:rPr>
        <w:t>。</w:t>
      </w:r>
    </w:p>
    <w:p w14:paraId="221FC1CD">
      <w:pPr>
        <w:widowControl/>
        <w:numPr>
          <w:ilvl w:val="0"/>
          <w:numId w:val="1"/>
        </w:numPr>
        <w:spacing w:line="600" w:lineRule="exact"/>
        <w:ind w:firstLine="640" w:firstLineChars="200"/>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预期成果形式</w:t>
      </w:r>
    </w:p>
    <w:p w14:paraId="375AA69F">
      <w:pPr>
        <w:widowControl/>
        <w:spacing w:line="600" w:lineRule="exact"/>
        <w:ind w:firstLine="640" w:firstLineChars="200"/>
        <w:rPr>
          <w:rFonts w:hint="eastAsia" w:ascii="Times New Roman" w:hAnsi="Times New Roman" w:eastAsia="仿宋" w:cs="Times New Roman"/>
          <w:color w:val="auto"/>
          <w:sz w:val="32"/>
          <w:szCs w:val="32"/>
          <w:lang w:eastAsia="zh-CN"/>
        </w:rPr>
      </w:pPr>
      <w:r>
        <w:rPr>
          <w:rFonts w:hint="eastAsia" w:ascii="Times New Roman" w:hAnsi="Times New Roman" w:eastAsia="仿宋" w:cs="Times New Roman"/>
          <w:color w:val="auto"/>
          <w:sz w:val="32"/>
          <w:szCs w:val="32"/>
        </w:rPr>
        <w:t>达到上述所有标准的含重金属废水应急处置装备1套</w:t>
      </w:r>
      <w:r>
        <w:rPr>
          <w:rFonts w:hint="eastAsia" w:ascii="Times New Roman" w:hAnsi="Times New Roman" w:eastAsia="仿宋" w:cs="Times New Roman"/>
          <w:color w:val="auto"/>
          <w:sz w:val="32"/>
          <w:szCs w:val="32"/>
          <w:lang w:eastAsia="zh-CN"/>
        </w:rPr>
        <w:t>。</w:t>
      </w:r>
    </w:p>
    <w:p w14:paraId="0444D0A5">
      <w:pPr>
        <w:widowControl/>
        <w:numPr>
          <w:ilvl w:val="0"/>
          <w:numId w:val="1"/>
        </w:numPr>
        <w:spacing w:line="600" w:lineRule="exact"/>
        <w:ind w:left="0" w:leftChars="0"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交付条件</w:t>
      </w:r>
    </w:p>
    <w:p w14:paraId="62641745">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1</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rPr>
        <w:t>按期交付达到设计标准，符合上述技术指标和质量要求的成套示范装备及配套技术文件（工艺包、操作规程、安全技术说明书等）。</w:t>
      </w:r>
    </w:p>
    <w:p w14:paraId="06D76AFB">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2</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rPr>
        <w:t>揭榜方依据发榜方对研究内容及技术指标的要求，在发榜方协助提供</w:t>
      </w:r>
      <w:r>
        <w:rPr>
          <w:rFonts w:hint="eastAsia" w:ascii="Times New Roman" w:hAnsi="Times New Roman" w:eastAsia="仿宋" w:cs="Times New Roman"/>
          <w:color w:val="auto"/>
          <w:sz w:val="32"/>
          <w:szCs w:val="32"/>
          <w:lang w:val="en-US" w:eastAsia="zh-CN"/>
        </w:rPr>
        <w:t>废水</w:t>
      </w:r>
      <w:r>
        <w:rPr>
          <w:rFonts w:hint="eastAsia" w:ascii="Times New Roman" w:hAnsi="Times New Roman" w:eastAsia="仿宋" w:cs="Times New Roman"/>
          <w:color w:val="auto"/>
          <w:sz w:val="32"/>
          <w:szCs w:val="32"/>
        </w:rPr>
        <w:t>样品的情况下完成相关成套装备的现场或模拟试验，验证处理能力、重金属去除率等指标。</w:t>
      </w:r>
    </w:p>
    <w:p w14:paraId="640F9B1B">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3</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rPr>
        <w:t>项目通过评审，满足工艺先进性与可推广性要求，达成验收条件。</w:t>
      </w:r>
    </w:p>
    <w:p w14:paraId="555FE3E3">
      <w:pPr>
        <w:widowControl/>
        <w:numPr>
          <w:ilvl w:val="0"/>
          <w:numId w:val="1"/>
        </w:numPr>
        <w:spacing w:line="600" w:lineRule="exact"/>
        <w:ind w:left="0" w:leftChars="0"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 xml:space="preserve">项目实施周期及揭榜金额 </w:t>
      </w:r>
    </w:p>
    <w:p w14:paraId="5AB66530">
      <w:pPr>
        <w:widowControl/>
        <w:spacing w:line="60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 xml:space="preserve">项目实施周期 </w:t>
      </w:r>
      <w:r>
        <w:rPr>
          <w:rFonts w:hint="eastAsia" w:ascii="Times New Roman" w:hAnsi="Times New Roman" w:eastAsia="仿宋" w:cs="Times New Roman"/>
          <w:color w:val="auto"/>
          <w:sz w:val="32"/>
          <w:szCs w:val="32"/>
        </w:rPr>
        <w:t>1</w:t>
      </w:r>
      <w:r>
        <w:rPr>
          <w:rFonts w:ascii="Times New Roman" w:hAnsi="Times New Roman" w:eastAsia="仿宋" w:cs="Times New Roman"/>
          <w:color w:val="auto"/>
          <w:sz w:val="32"/>
          <w:szCs w:val="32"/>
        </w:rPr>
        <w:t xml:space="preserve"> 年；揭榜金额不超过 </w:t>
      </w:r>
      <w:r>
        <w:rPr>
          <w:rFonts w:hint="eastAsia" w:ascii="Times New Roman" w:hAnsi="Times New Roman" w:eastAsia="仿宋" w:cs="Times New Roman"/>
          <w:color w:val="auto"/>
          <w:sz w:val="32"/>
          <w:szCs w:val="32"/>
          <w:lang w:val="en-US" w:eastAsia="zh-CN"/>
        </w:rPr>
        <w:t>6</w:t>
      </w:r>
      <w:r>
        <w:rPr>
          <w:rFonts w:ascii="Times New Roman" w:hAnsi="Times New Roman" w:eastAsia="仿宋" w:cs="Times New Roman"/>
          <w:color w:val="auto"/>
          <w:sz w:val="32"/>
          <w:szCs w:val="32"/>
        </w:rPr>
        <w:t xml:space="preserve"> 万元。</w:t>
      </w:r>
    </w:p>
    <w:p w14:paraId="2254C798">
      <w:pPr>
        <w:widowControl/>
        <w:numPr>
          <w:ilvl w:val="0"/>
          <w:numId w:val="1"/>
        </w:numPr>
        <w:spacing w:line="600" w:lineRule="exact"/>
        <w:ind w:left="0" w:leftChars="0"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 xml:space="preserve">对揭榜方要求 </w:t>
      </w:r>
    </w:p>
    <w:p w14:paraId="2A8A566B">
      <w:pPr>
        <w:widowControl/>
        <w:spacing w:line="600" w:lineRule="exact"/>
        <w:ind w:firstLine="640" w:firstLineChars="200"/>
        <w:rPr>
          <w:rFonts w:hint="default" w:ascii="Times New Roman" w:hAnsi="Times New Roman" w:eastAsia="仿宋" w:cs="Times New Roman"/>
          <w:color w:val="auto"/>
          <w:sz w:val="32"/>
          <w:szCs w:val="32"/>
          <w:highlight w:val="none"/>
          <w:lang w:val="en-US" w:eastAsia="zh-CN"/>
        </w:rPr>
      </w:pPr>
      <w:r>
        <w:rPr>
          <w:rFonts w:ascii="Times New Roman" w:hAnsi="Times New Roman" w:eastAsia="仿宋" w:cs="Times New Roman"/>
          <w:color w:val="auto"/>
          <w:sz w:val="32"/>
          <w:szCs w:val="32"/>
        </w:rPr>
        <w:t>揭榜方应具有独立的研发团队、配套的科研条件和自主研发实力，能按要求完成揭榜任务。</w:t>
      </w:r>
    </w:p>
    <w:p w14:paraId="1B631E7D">
      <w:pPr>
        <w:widowControl/>
        <w:jc w:val="left"/>
        <w:rPr>
          <w:rFonts w:ascii="Times New Roman" w:hAnsi="Times New Roman" w:eastAsia="仿宋" w:cs="Times New Roman"/>
          <w:sz w:val="32"/>
          <w:szCs w:val="32"/>
        </w:rPr>
      </w:pPr>
    </w:p>
    <w:p w14:paraId="44955F00">
      <w:pPr>
        <w:widowControl/>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项目需求</w:t>
      </w:r>
      <w:r>
        <w:rPr>
          <w:rFonts w:hint="eastAsia" w:ascii="Times New Roman" w:hAnsi="Times New Roman" w:eastAsia="黑体" w:cs="Times New Roman"/>
          <w:sz w:val="32"/>
          <w:szCs w:val="32"/>
        </w:rPr>
        <w:t>二</w:t>
      </w:r>
      <w:r>
        <w:rPr>
          <w:rFonts w:ascii="Times New Roman" w:hAnsi="Times New Roman" w:eastAsia="黑体" w:cs="Times New Roman"/>
          <w:sz w:val="32"/>
          <w:szCs w:val="32"/>
        </w:rPr>
        <w:t>：</w:t>
      </w:r>
      <w:r>
        <w:rPr>
          <w:rFonts w:hint="eastAsia" w:ascii="Times New Roman" w:hAnsi="Times New Roman" w:eastAsia="黑体" w:cs="Times New Roman"/>
          <w:sz w:val="32"/>
          <w:szCs w:val="32"/>
        </w:rPr>
        <w:t>固废基</w:t>
      </w:r>
      <w:r>
        <w:rPr>
          <w:rFonts w:ascii="Times New Roman" w:hAnsi="Times New Roman" w:eastAsia="黑体" w:cs="Times New Roman"/>
          <w:sz w:val="32"/>
          <w:szCs w:val="32"/>
        </w:rPr>
        <w:t>PF</w:t>
      </w:r>
      <w:r>
        <w:rPr>
          <w:rFonts w:hint="eastAsia" w:ascii="Times New Roman" w:hAnsi="Times New Roman" w:eastAsia="黑体" w:cs="Times New Roman"/>
          <w:sz w:val="32"/>
          <w:szCs w:val="32"/>
        </w:rPr>
        <w:t>AS</w:t>
      </w:r>
      <w:r>
        <w:rPr>
          <w:rFonts w:ascii="Times New Roman" w:hAnsi="Times New Roman" w:eastAsia="黑体" w:cs="Times New Roman"/>
          <w:sz w:val="32"/>
          <w:szCs w:val="32"/>
        </w:rPr>
        <w:t>高效去除</w:t>
      </w:r>
      <w:r>
        <w:rPr>
          <w:rFonts w:hint="eastAsia" w:ascii="Times New Roman" w:hAnsi="Times New Roman" w:eastAsia="黑体" w:cs="Times New Roman"/>
          <w:sz w:val="32"/>
          <w:szCs w:val="32"/>
        </w:rPr>
        <w:t>功能材料</w:t>
      </w:r>
      <w:r>
        <w:rPr>
          <w:rFonts w:ascii="Times New Roman" w:hAnsi="Times New Roman" w:eastAsia="黑体" w:cs="Times New Roman"/>
          <w:sz w:val="32"/>
          <w:szCs w:val="32"/>
        </w:rPr>
        <w:t>研发</w:t>
      </w:r>
    </w:p>
    <w:p w14:paraId="316A68AE">
      <w:pPr>
        <w:widowControl/>
        <w:numPr>
          <w:ilvl w:val="0"/>
          <w:numId w:val="2"/>
        </w:num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需求内容及技术指标要求</w:t>
      </w:r>
    </w:p>
    <w:p w14:paraId="5A3EA158">
      <w:pPr>
        <w:widowControl/>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（1）针对</w:t>
      </w:r>
      <w:r>
        <w:rPr>
          <w:rFonts w:ascii="Times New Roman" w:hAnsi="Times New Roman" w:eastAsia="仿宋" w:cs="Times New Roman"/>
          <w:sz w:val="32"/>
          <w:szCs w:val="32"/>
        </w:rPr>
        <w:t>PFAS污染</w:t>
      </w:r>
      <w:r>
        <w:rPr>
          <w:rFonts w:hint="eastAsia" w:ascii="Times New Roman" w:hAnsi="Times New Roman" w:eastAsia="仿宋" w:cs="Times New Roman"/>
          <w:sz w:val="32"/>
          <w:szCs w:val="32"/>
        </w:rPr>
        <w:t>场景</w:t>
      </w:r>
      <w:r>
        <w:rPr>
          <w:rFonts w:ascii="Times New Roman" w:hAnsi="Times New Roman" w:eastAsia="仿宋" w:cs="Times New Roman"/>
          <w:sz w:val="32"/>
          <w:szCs w:val="32"/>
        </w:rPr>
        <w:t>（</w:t>
      </w:r>
      <w:r>
        <w:rPr>
          <w:rFonts w:hint="eastAsia" w:ascii="Times New Roman" w:hAnsi="Times New Roman" w:eastAsia="仿宋" w:cs="Times New Roman"/>
          <w:sz w:val="32"/>
          <w:szCs w:val="32"/>
        </w:rPr>
        <w:t>印染行业和氟化工行业废水</w:t>
      </w:r>
      <w:r>
        <w:rPr>
          <w:rFonts w:ascii="Times New Roman" w:hAnsi="Times New Roman" w:eastAsia="仿宋" w:cs="Times New Roman"/>
          <w:sz w:val="32"/>
          <w:szCs w:val="32"/>
        </w:rPr>
        <w:t>），</w:t>
      </w:r>
      <w:r>
        <w:rPr>
          <w:rFonts w:hint="eastAsia" w:ascii="Times New Roman" w:hAnsi="Times New Roman" w:eastAsia="仿宋" w:cs="Times New Roman"/>
          <w:sz w:val="32"/>
          <w:szCs w:val="32"/>
        </w:rPr>
        <w:t>研发以金属冶炼渣为原料的</w:t>
      </w:r>
      <w:r>
        <w:rPr>
          <w:rFonts w:ascii="Times New Roman" w:hAnsi="Times New Roman" w:eastAsia="仿宋" w:cs="Times New Roman"/>
          <w:sz w:val="32"/>
          <w:szCs w:val="32"/>
        </w:rPr>
        <w:t>典型</w:t>
      </w:r>
      <w:r>
        <w:rPr>
          <w:rFonts w:hint="eastAsia" w:ascii="Times New Roman" w:hAnsi="Times New Roman" w:eastAsia="仿宋" w:cs="Times New Roman"/>
          <w:sz w:val="32"/>
          <w:szCs w:val="32"/>
        </w:rPr>
        <w:t>PFAS</w:t>
      </w:r>
      <w:r>
        <w:rPr>
          <w:rFonts w:ascii="Times New Roman" w:hAnsi="Times New Roman" w:eastAsia="仿宋" w:cs="Times New Roman"/>
          <w:sz w:val="32"/>
          <w:szCs w:val="32"/>
        </w:rPr>
        <w:t>（PFOA</w:t>
      </w:r>
      <w:r>
        <w:rPr>
          <w:rFonts w:hint="eastAsia" w:ascii="Times New Roman" w:hAnsi="Times New Roman" w:eastAsia="仿宋" w:cs="Times New Roman"/>
          <w:sz w:val="32"/>
          <w:szCs w:val="32"/>
        </w:rPr>
        <w:t>类</w:t>
      </w:r>
      <w:r>
        <w:rPr>
          <w:rFonts w:ascii="Times New Roman" w:hAnsi="Times New Roman" w:eastAsia="仿宋" w:cs="Times New Roman"/>
          <w:sz w:val="32"/>
          <w:szCs w:val="32"/>
        </w:rPr>
        <w:t>、PFOS</w:t>
      </w:r>
      <w:r>
        <w:rPr>
          <w:rFonts w:hint="eastAsia" w:ascii="Times New Roman" w:hAnsi="Times New Roman" w:eastAsia="仿宋" w:cs="Times New Roman"/>
          <w:sz w:val="32"/>
          <w:szCs w:val="32"/>
        </w:rPr>
        <w:t>类</w:t>
      </w:r>
      <w:r>
        <w:rPr>
          <w:rFonts w:ascii="Times New Roman" w:hAnsi="Times New Roman" w:eastAsia="仿宋" w:cs="Times New Roman"/>
          <w:sz w:val="32"/>
          <w:szCs w:val="32"/>
        </w:rPr>
        <w:t>）</w:t>
      </w:r>
      <w:r>
        <w:rPr>
          <w:rFonts w:hint="eastAsia" w:ascii="Times New Roman" w:hAnsi="Times New Roman" w:eastAsia="仿宋" w:cs="Times New Roman"/>
          <w:sz w:val="32"/>
          <w:szCs w:val="32"/>
        </w:rPr>
        <w:t>高效去除新型功能材料，阐明功能材料研发的理论基础，构建材料合成的工艺路线。</w:t>
      </w:r>
    </w:p>
    <w:p w14:paraId="2FC08769">
      <w:pPr>
        <w:widowControl/>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 xml:space="preserve">（2）目标物浓度在10~1000 </w:t>
      </w:r>
      <w:r>
        <w:rPr>
          <w:rFonts w:ascii="Times New Roman" w:hAnsi="Times New Roman" w:eastAsia="微软雅黑" w:cs="Times New Roman"/>
          <w:sz w:val="32"/>
          <w:szCs w:val="32"/>
        </w:rPr>
        <w:t>μ</w:t>
      </w:r>
      <w:r>
        <w:rPr>
          <w:rFonts w:hint="eastAsia" w:ascii="Times New Roman" w:hAnsi="Times New Roman" w:eastAsia="仿宋" w:cs="Times New Roman"/>
          <w:sz w:val="32"/>
          <w:szCs w:val="32"/>
        </w:rPr>
        <w:t>g/L范围内，</w:t>
      </w:r>
      <w:r>
        <w:rPr>
          <w:rFonts w:ascii="Times New Roman" w:hAnsi="Times New Roman" w:eastAsia="仿宋" w:cs="Times New Roman"/>
          <w:sz w:val="32"/>
          <w:szCs w:val="32"/>
        </w:rPr>
        <w:t>去除率≥90%</w:t>
      </w:r>
      <w:r>
        <w:rPr>
          <w:rFonts w:hint="eastAsia" w:ascii="Times New Roman" w:hAnsi="Times New Roman" w:eastAsia="仿宋" w:cs="Times New Roman"/>
          <w:sz w:val="32"/>
          <w:szCs w:val="32"/>
        </w:rPr>
        <w:t>；经斑马鱼胚胎急性毒性试验评估，转化产物毒性低于目标物；克服反应过程中pH的影响，在pH 2~</w:t>
      </w:r>
      <w:r>
        <w:rPr>
          <w:rFonts w:ascii="Times New Roman" w:hAnsi="Times New Roman" w:eastAsia="仿宋" w:cs="Times New Roman"/>
          <w:sz w:val="32"/>
          <w:szCs w:val="32"/>
        </w:rPr>
        <w:t>9</w:t>
      </w:r>
      <w:r>
        <w:rPr>
          <w:rFonts w:hint="eastAsia" w:ascii="Times New Roman" w:hAnsi="Times New Roman" w:eastAsia="仿宋" w:cs="Times New Roman"/>
          <w:sz w:val="32"/>
          <w:szCs w:val="32"/>
        </w:rPr>
        <w:t>范围内保持</w:t>
      </w:r>
      <w:r>
        <w:rPr>
          <w:rFonts w:ascii="Times New Roman" w:hAnsi="Times New Roman" w:eastAsia="仿宋" w:cs="Times New Roman"/>
          <w:sz w:val="32"/>
          <w:szCs w:val="32"/>
        </w:rPr>
        <w:t>≥90%</w:t>
      </w:r>
      <w:r>
        <w:rPr>
          <w:rFonts w:hint="eastAsia" w:ascii="Times New Roman" w:hAnsi="Times New Roman" w:eastAsia="仿宋" w:cs="Times New Roman"/>
          <w:sz w:val="32"/>
          <w:szCs w:val="32"/>
        </w:rPr>
        <w:t>的去除率；材料/废水处理量不超过</w:t>
      </w:r>
      <w:r>
        <w:rPr>
          <w:rFonts w:ascii="Times New Roman" w:hAnsi="Times New Roman" w:eastAsia="仿宋" w:cs="Times New Roman"/>
          <w:sz w:val="32"/>
          <w:szCs w:val="32"/>
        </w:rPr>
        <w:t>2g/L</w:t>
      </w:r>
      <w:r>
        <w:rPr>
          <w:rFonts w:hint="eastAsia" w:ascii="Times New Roman" w:hAnsi="Times New Roman" w:eastAsia="仿宋" w:cs="Times New Roman"/>
          <w:sz w:val="32"/>
          <w:szCs w:val="32"/>
        </w:rPr>
        <w:t>。</w:t>
      </w:r>
    </w:p>
    <w:p w14:paraId="081783D7">
      <w:pPr>
        <w:widowControl/>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（3）当废水中存在共存污染物（如</w:t>
      </w:r>
      <w:r>
        <w:rPr>
          <w:rFonts w:ascii="Times New Roman" w:hAnsi="Times New Roman" w:eastAsia="仿宋" w:cs="Times New Roman"/>
          <w:sz w:val="32"/>
          <w:szCs w:val="32"/>
        </w:rPr>
        <w:t>COD≤500mg/L、氨氮≤50mg/L、重金属≤1mg/L）时，</w:t>
      </w:r>
      <w:r>
        <w:rPr>
          <w:rFonts w:hint="eastAsia" w:ascii="Times New Roman" w:hAnsi="Times New Roman" w:eastAsia="仿宋" w:cs="Times New Roman"/>
          <w:sz w:val="32"/>
          <w:szCs w:val="32"/>
        </w:rPr>
        <w:t>目标物</w:t>
      </w:r>
      <w:r>
        <w:rPr>
          <w:rFonts w:ascii="Times New Roman" w:hAnsi="Times New Roman" w:eastAsia="仿宋" w:cs="Times New Roman"/>
          <w:sz w:val="32"/>
          <w:szCs w:val="32"/>
        </w:rPr>
        <w:t>去除效率下降幅度≤5%</w:t>
      </w:r>
      <w:r>
        <w:rPr>
          <w:rFonts w:hint="eastAsia" w:ascii="Times New Roman" w:hAnsi="Times New Roman" w:eastAsia="仿宋" w:cs="Times New Roman"/>
          <w:sz w:val="32"/>
          <w:szCs w:val="32"/>
        </w:rPr>
        <w:t>。</w:t>
      </w:r>
    </w:p>
    <w:p w14:paraId="09298788">
      <w:pPr>
        <w:widowControl/>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（4）反应过程中材料金属离子溶出浓度低于《城镇污水处理厂污染物排放标准》（GB 18918-2002）。</w:t>
      </w:r>
    </w:p>
    <w:p w14:paraId="19411745">
      <w:pPr>
        <w:widowControl/>
        <w:numPr>
          <w:ilvl w:val="0"/>
          <w:numId w:val="2"/>
        </w:num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预期成果形式</w:t>
      </w:r>
    </w:p>
    <w:p w14:paraId="712661A5">
      <w:pPr>
        <w:widowControl/>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构建1套固废基PFAS高效去除功能材料研发的理论基础及合成工艺路线，形成技术研究报告1份。</w:t>
      </w:r>
    </w:p>
    <w:p w14:paraId="687CDDE4">
      <w:pPr>
        <w:widowControl/>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研发</w:t>
      </w:r>
      <w:r>
        <w:rPr>
          <w:rFonts w:ascii="Times New Roman" w:hAnsi="Times New Roman" w:eastAsia="仿宋" w:cs="Times New Roman"/>
          <w:sz w:val="32"/>
          <w:szCs w:val="32"/>
        </w:rPr>
        <w:t>新型功能材料</w:t>
      </w:r>
      <w:r>
        <w:rPr>
          <w:rFonts w:hint="eastAsia" w:ascii="Times New Roman" w:hAnsi="Times New Roman" w:eastAsia="仿宋" w:cs="Times New Roman"/>
          <w:sz w:val="32"/>
          <w:szCs w:val="32"/>
        </w:rPr>
        <w:t>2个，申请国家发明专利2项（第一申请人为生态环境部南京环境科学研究所）或发表高水平科研论文1篇（SCI一区10分以上，第一单位为生态环境部南京环境科学研究所）。</w:t>
      </w:r>
    </w:p>
    <w:p w14:paraId="195963D9">
      <w:pPr>
        <w:widowControl/>
        <w:numPr>
          <w:ilvl w:val="0"/>
          <w:numId w:val="2"/>
        </w:num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交付</w:t>
      </w:r>
      <w:r>
        <w:rPr>
          <w:rFonts w:ascii="Times New Roman" w:hAnsi="Times New Roman" w:eastAsia="黑体" w:cs="Times New Roman"/>
          <w:sz w:val="32"/>
          <w:szCs w:val="32"/>
        </w:rPr>
        <w:t>条件</w:t>
      </w:r>
    </w:p>
    <w:p w14:paraId="15584484">
      <w:pPr>
        <w:widowControl/>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（1）由发榜方提供PFAS废水样品</w:t>
      </w:r>
      <w:r>
        <w:rPr>
          <w:rFonts w:ascii="Times New Roman" w:hAnsi="Times New Roman" w:eastAsia="仿宋" w:cs="Times New Roman"/>
          <w:sz w:val="32"/>
          <w:szCs w:val="32"/>
        </w:rPr>
        <w:t>，</w:t>
      </w:r>
      <w:r>
        <w:rPr>
          <w:rFonts w:hint="eastAsia" w:ascii="Times New Roman" w:hAnsi="Times New Roman" w:eastAsia="仿宋" w:cs="Times New Roman"/>
          <w:sz w:val="32"/>
          <w:szCs w:val="32"/>
        </w:rPr>
        <w:t>揭榜方按照去除率及其它功能要求完成新型功能材料的技术指标验证</w:t>
      </w:r>
      <w:r>
        <w:rPr>
          <w:rFonts w:ascii="Times New Roman" w:hAnsi="Times New Roman" w:eastAsia="仿宋" w:cs="Times New Roman"/>
          <w:sz w:val="32"/>
          <w:szCs w:val="32"/>
        </w:rPr>
        <w:t>。</w:t>
      </w:r>
    </w:p>
    <w:p w14:paraId="764936C5">
      <w:pPr>
        <w:widowControl/>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（2）</w:t>
      </w:r>
      <w:r>
        <w:rPr>
          <w:rFonts w:ascii="Times New Roman" w:hAnsi="Times New Roman" w:eastAsia="仿宋" w:cs="Times New Roman"/>
          <w:sz w:val="32"/>
          <w:szCs w:val="32"/>
        </w:rPr>
        <w:t>按期</w:t>
      </w:r>
      <w:r>
        <w:rPr>
          <w:rFonts w:hint="eastAsia" w:ascii="Times New Roman" w:hAnsi="Times New Roman" w:eastAsia="仿宋" w:cs="Times New Roman"/>
          <w:sz w:val="32"/>
          <w:szCs w:val="32"/>
        </w:rPr>
        <w:t>提交技术研究报告，内容包括但不限于国内外研究进展、材料研发的理论基础、材料研发的技术路线、废水样品验证结果等</w:t>
      </w:r>
      <w:r>
        <w:rPr>
          <w:rFonts w:ascii="Times New Roman" w:hAnsi="Times New Roman" w:eastAsia="仿宋" w:cs="Times New Roman"/>
          <w:sz w:val="32"/>
          <w:szCs w:val="32"/>
        </w:rPr>
        <w:t>。</w:t>
      </w:r>
    </w:p>
    <w:p w14:paraId="71C713F5">
      <w:pPr>
        <w:widowControl/>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w:t>
      </w:r>
      <w:r>
        <w:rPr>
          <w:rFonts w:ascii="Times New Roman" w:hAnsi="Times New Roman" w:eastAsia="仿宋" w:cs="Times New Roman"/>
          <w:sz w:val="32"/>
          <w:szCs w:val="32"/>
        </w:rPr>
        <w:t>项目通过技术专家评审达成验收条件。</w:t>
      </w:r>
    </w:p>
    <w:p w14:paraId="7D558986">
      <w:pPr>
        <w:widowControl/>
        <w:numPr>
          <w:ilvl w:val="0"/>
          <w:numId w:val="2"/>
        </w:num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 xml:space="preserve">项目实施周期及揭榜金额 </w:t>
      </w:r>
    </w:p>
    <w:p w14:paraId="5589CCB2">
      <w:pPr>
        <w:widowControl/>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项目实施周期 </w:t>
      </w:r>
      <w:r>
        <w:rPr>
          <w:rFonts w:hint="eastAsia" w:ascii="Times New Roman" w:hAnsi="Times New Roman" w:eastAsia="仿宋" w:cs="Times New Roman"/>
          <w:sz w:val="32"/>
          <w:szCs w:val="32"/>
        </w:rPr>
        <w:t>1</w:t>
      </w:r>
      <w:r>
        <w:rPr>
          <w:rFonts w:ascii="Times New Roman" w:hAnsi="Times New Roman" w:eastAsia="仿宋" w:cs="Times New Roman"/>
          <w:sz w:val="32"/>
          <w:szCs w:val="32"/>
        </w:rPr>
        <w:t xml:space="preserve"> 年；揭榜金额不超过</w:t>
      </w:r>
      <w:r>
        <w:rPr>
          <w:rFonts w:hint="eastAsia" w:ascii="Times New Roman" w:hAnsi="Times New Roman" w:eastAsia="仿宋" w:cs="Times New Roman"/>
          <w:sz w:val="32"/>
          <w:szCs w:val="32"/>
        </w:rPr>
        <w:t>4</w:t>
      </w:r>
      <w:r>
        <w:rPr>
          <w:rFonts w:ascii="Times New Roman" w:hAnsi="Times New Roman" w:eastAsia="仿宋" w:cs="Times New Roman"/>
          <w:sz w:val="32"/>
          <w:szCs w:val="32"/>
        </w:rPr>
        <w:t xml:space="preserve"> 万元。</w:t>
      </w:r>
    </w:p>
    <w:p w14:paraId="227E9B9D">
      <w:pPr>
        <w:widowControl/>
        <w:numPr>
          <w:ilvl w:val="0"/>
          <w:numId w:val="2"/>
        </w:num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 xml:space="preserve">对揭榜方要求 </w:t>
      </w:r>
    </w:p>
    <w:p w14:paraId="6E248C6E">
      <w:pPr>
        <w:widowControl/>
        <w:spacing w:line="600" w:lineRule="exact"/>
        <w:ind w:firstLine="640" w:firstLineChars="200"/>
        <w:rPr>
          <w:rFonts w:ascii="Times New Roman" w:hAnsi="Times New Roman" w:eastAsia="仿宋" w:cs="Times New Roman"/>
          <w:color w:val="FF0000"/>
          <w:sz w:val="32"/>
          <w:szCs w:val="32"/>
        </w:rPr>
      </w:pPr>
      <w:r>
        <w:rPr>
          <w:rFonts w:ascii="Times New Roman" w:hAnsi="Times New Roman" w:eastAsia="仿宋" w:cs="Times New Roman"/>
          <w:sz w:val="32"/>
          <w:szCs w:val="32"/>
        </w:rPr>
        <w:t>揭榜方应具有独立的研发团队、配套的</w:t>
      </w:r>
      <w:r>
        <w:rPr>
          <w:rFonts w:hint="eastAsia" w:ascii="Times New Roman" w:hAnsi="Times New Roman" w:eastAsia="仿宋" w:cs="Times New Roman"/>
          <w:sz w:val="32"/>
          <w:szCs w:val="32"/>
        </w:rPr>
        <w:t>材料研发</w:t>
      </w:r>
      <w:r>
        <w:rPr>
          <w:rFonts w:ascii="Times New Roman" w:hAnsi="Times New Roman" w:eastAsia="仿宋" w:cs="Times New Roman"/>
          <w:sz w:val="32"/>
          <w:szCs w:val="32"/>
        </w:rPr>
        <w:t>科研条件和自主研发实力，</w:t>
      </w:r>
      <w:r>
        <w:rPr>
          <w:rFonts w:hint="eastAsia" w:ascii="Times New Roman" w:hAnsi="Times New Roman" w:eastAsia="仿宋" w:cs="Times New Roman"/>
          <w:sz w:val="32"/>
          <w:szCs w:val="32"/>
        </w:rPr>
        <w:t>承担过国家级相关科研项目不少于1项，</w:t>
      </w:r>
      <w:r>
        <w:rPr>
          <w:rFonts w:ascii="Times New Roman" w:hAnsi="Times New Roman" w:eastAsia="仿宋" w:cs="Times New Roman"/>
          <w:sz w:val="32"/>
          <w:szCs w:val="32"/>
        </w:rPr>
        <w:t>能按要求完成揭榜任务</w:t>
      </w:r>
      <w:r>
        <w:rPr>
          <w:rFonts w:hint="eastAsia" w:ascii="Times New Roman" w:hAnsi="Times New Roman" w:eastAsia="仿宋" w:cs="Times New Roman"/>
          <w:sz w:val="32"/>
          <w:szCs w:val="32"/>
        </w:rPr>
        <w:t>。</w:t>
      </w:r>
    </w:p>
    <w:p w14:paraId="0B2C5339">
      <w:pPr>
        <w:widowControl/>
        <w:spacing w:line="600" w:lineRule="exact"/>
        <w:ind w:firstLine="640" w:firstLineChars="200"/>
        <w:rPr>
          <w:rFonts w:ascii="Times New Roman" w:hAnsi="Times New Roman" w:eastAsia="黑体" w:cs="Times New Roman"/>
          <w:sz w:val="32"/>
          <w:szCs w:val="32"/>
        </w:rPr>
      </w:pPr>
    </w:p>
    <w:p w14:paraId="3E815D8A">
      <w:pPr>
        <w:widowControl/>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 xml:space="preserve">项目需求三：电子废弃物有价金属梯级浸出回收效能及关键技术研发与应用 </w:t>
      </w:r>
    </w:p>
    <w:p w14:paraId="03EE5AF1">
      <w:pPr>
        <w:widowControl/>
        <w:numPr>
          <w:ilvl w:val="0"/>
          <w:numId w:val="3"/>
        </w:num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需求内容及技术指标要求</w:t>
      </w:r>
    </w:p>
    <w:p w14:paraId="6A2380ED">
      <w:pPr>
        <w:widowControl/>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1）研发适用于典型电子废弃物（如废印刷线路板、废元器件、废电池等）分选残渣（如树脂粉等）中有价金属的高效浸出—梯级回收—药剂循环利用一体化技术工艺。工艺核心功能主要包含：有价金属浸出、多种金属梯级回收以及药剂循环。</w:t>
      </w:r>
    </w:p>
    <w:p w14:paraId="6F15F8D5">
      <w:pPr>
        <w:widowControl/>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（2）建立适配的浸出体系与梯级回收工艺，对金、银、钯、铜等主要有价金属实现高效浸出分离与富集回收，在典型工况下满足：金、银、钯、铜等有价金属总浸出率≥85%。</w:t>
      </w:r>
    </w:p>
    <w:p w14:paraId="38F8036F">
      <w:pPr>
        <w:widowControl/>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（3）建立药剂循环利用方案，显著提升药剂循环利用次数，实现关键浸出药剂循环利用率≥70%，实验过程无明显二次污染。</w:t>
      </w:r>
    </w:p>
    <w:p w14:paraId="1DA87D23">
      <w:pPr>
        <w:widowControl/>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（4）实验装置对电子废弃物分选残渣的设计处理能力不低于1kg/d，可满足连续运行时间≥72h的试验验证需求，在典型工况下完成连续进料与运行测试，关键设备运行稳定。</w:t>
      </w:r>
    </w:p>
    <w:p w14:paraId="63D569F3">
      <w:pPr>
        <w:widowControl/>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（5）电气及控制系统模块应满足《国家电气设备安全技术规范》等相关规范要求，电气设备选型遵循安全、经济、节能、易维护原则。</w:t>
      </w:r>
    </w:p>
    <w:p w14:paraId="176ACFCF">
      <w:pPr>
        <w:widowControl/>
        <w:numPr>
          <w:ilvl w:val="0"/>
          <w:numId w:val="3"/>
        </w:num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预期成果形式</w:t>
      </w:r>
    </w:p>
    <w:p w14:paraId="77B30380">
      <w:pPr>
        <w:widowControl/>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形成1套电子废弃物有价金属梯级浸出回收工艺包及相应的实验/小试装置。</w:t>
      </w:r>
    </w:p>
    <w:p w14:paraId="299A3465">
      <w:pPr>
        <w:widowControl/>
        <w:numPr>
          <w:ilvl w:val="0"/>
          <w:numId w:val="3"/>
        </w:num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交付条件</w:t>
      </w:r>
    </w:p>
    <w:p w14:paraId="1BD8D9F0">
      <w:pPr>
        <w:widowControl/>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（1）按期交付实验报告，同时提供达到设计标准且符合上述技术指标和质量要求的工艺包，包含工艺技术路线、质量/能量平衡计算和放大设计等工艺设计基础。</w:t>
      </w:r>
    </w:p>
    <w:p w14:paraId="692D9E75">
      <w:pPr>
        <w:widowControl/>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2）揭榜方依据发榜方对研究内容及技术指标的要求，在发榜方协助提供电子废弃物样品的情况下完成相关成套工艺的开发及现场试验，实现电子废弃物分选残渣的处理能力≥1kg/d，典型工况下金、银、钯、铜等有价金属总浸出率≥85%。</w:t>
      </w:r>
    </w:p>
    <w:p w14:paraId="1624D948">
      <w:pPr>
        <w:widowControl/>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（3）项目通过技术专家评审达成验收条件。</w:t>
      </w:r>
    </w:p>
    <w:p w14:paraId="1EB04C6A">
      <w:pPr>
        <w:widowControl/>
        <w:numPr>
          <w:ilvl w:val="0"/>
          <w:numId w:val="3"/>
        </w:num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项目实施周期及揭榜金额</w:t>
      </w:r>
    </w:p>
    <w:p w14:paraId="6C704D41">
      <w:pPr>
        <w:widowControl/>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项目实施周期</w:t>
      </w:r>
      <w:r>
        <w:rPr>
          <w:rFonts w:ascii="Times New Roman" w:hAnsi="Times New Roman" w:eastAsia="仿宋" w:cs="Times New Roman"/>
          <w:sz w:val="32"/>
          <w:szCs w:val="32"/>
        </w:rPr>
        <w:t>1年；揭榜金额不超过6</w:t>
      </w:r>
      <w:r>
        <w:rPr>
          <w:rFonts w:hint="eastAsia" w:ascii="Times New Roman" w:hAnsi="Times New Roman" w:eastAsia="仿宋" w:cs="Times New Roman"/>
          <w:sz w:val="32"/>
          <w:szCs w:val="32"/>
        </w:rPr>
        <w:t>万</w:t>
      </w:r>
      <w:r>
        <w:rPr>
          <w:rFonts w:ascii="Times New Roman" w:hAnsi="Times New Roman" w:eastAsia="仿宋" w:cs="Times New Roman"/>
          <w:sz w:val="32"/>
          <w:szCs w:val="32"/>
        </w:rPr>
        <w:t>元。</w:t>
      </w:r>
    </w:p>
    <w:p w14:paraId="2B50B325">
      <w:pPr>
        <w:widowControl/>
        <w:numPr>
          <w:ilvl w:val="0"/>
          <w:numId w:val="3"/>
        </w:num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 xml:space="preserve">对揭榜方要求 </w:t>
      </w:r>
    </w:p>
    <w:p w14:paraId="51F56815">
      <w:pPr>
        <w:widowControl/>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揭榜方应具有电子废弃物资源化利用或湿法冶金等相关研究基础，具备金属回收工艺研发经验；完整的研发团队和必要的科研、试验条件，实验装置设计、集成能力；具有相关领域科研项目或工程示范经验，承担国家级课题不少于1项。</w:t>
      </w:r>
    </w:p>
    <w:sectPr>
      <w:footerReference r:id="rId3" w:type="default"/>
      <w:pgSz w:w="11906" w:h="16838"/>
      <w:pgMar w:top="2041" w:right="1587" w:bottom="2041"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A58DC">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7FF80E">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A7FF80E">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FB346"/>
    <w:multiLevelType w:val="singleLevel"/>
    <w:tmpl w:val="8D2FB346"/>
    <w:lvl w:ilvl="0" w:tentative="0">
      <w:start w:val="1"/>
      <w:numFmt w:val="decimal"/>
      <w:suff w:val="space"/>
      <w:lvlText w:val="%1."/>
      <w:lvlJc w:val="left"/>
    </w:lvl>
  </w:abstractNum>
  <w:abstractNum w:abstractNumId="1">
    <w:nsid w:val="E42E6BB1"/>
    <w:multiLevelType w:val="singleLevel"/>
    <w:tmpl w:val="E42E6BB1"/>
    <w:lvl w:ilvl="0" w:tentative="0">
      <w:start w:val="1"/>
      <w:numFmt w:val="decimal"/>
      <w:suff w:val="space"/>
      <w:lvlText w:val="%1."/>
      <w:lvlJc w:val="left"/>
    </w:lvl>
  </w:abstractNum>
  <w:abstractNum w:abstractNumId="2">
    <w:nsid w:val="3600AE9F"/>
    <w:multiLevelType w:val="singleLevel"/>
    <w:tmpl w:val="3600AE9F"/>
    <w:lvl w:ilvl="0" w:tentative="0">
      <w:start w:val="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yZTE4MDA5MjA1YTQ3NmZiMTE2NGNkMGU1MmFiYzgifQ=="/>
  </w:docVars>
  <w:rsids>
    <w:rsidRoot w:val="008744DD"/>
    <w:rsid w:val="00006563"/>
    <w:rsid w:val="00026C04"/>
    <w:rsid w:val="0005024A"/>
    <w:rsid w:val="000623A2"/>
    <w:rsid w:val="000677DC"/>
    <w:rsid w:val="000C4DFE"/>
    <w:rsid w:val="000D3A28"/>
    <w:rsid w:val="000E093E"/>
    <w:rsid w:val="000F149D"/>
    <w:rsid w:val="00121004"/>
    <w:rsid w:val="001254FA"/>
    <w:rsid w:val="00145078"/>
    <w:rsid w:val="001778AB"/>
    <w:rsid w:val="00183E60"/>
    <w:rsid w:val="001C2621"/>
    <w:rsid w:val="001F0FDA"/>
    <w:rsid w:val="001F1AEA"/>
    <w:rsid w:val="0021125A"/>
    <w:rsid w:val="0025148E"/>
    <w:rsid w:val="0026310E"/>
    <w:rsid w:val="00271384"/>
    <w:rsid w:val="00275F8D"/>
    <w:rsid w:val="002C609C"/>
    <w:rsid w:val="002C7A6E"/>
    <w:rsid w:val="002F40AB"/>
    <w:rsid w:val="003016DE"/>
    <w:rsid w:val="00301D16"/>
    <w:rsid w:val="00304FC9"/>
    <w:rsid w:val="003072A9"/>
    <w:rsid w:val="0031560B"/>
    <w:rsid w:val="0037075F"/>
    <w:rsid w:val="00387A9C"/>
    <w:rsid w:val="003B2129"/>
    <w:rsid w:val="003D13C4"/>
    <w:rsid w:val="00411AC7"/>
    <w:rsid w:val="00454FBC"/>
    <w:rsid w:val="0049668F"/>
    <w:rsid w:val="004B1791"/>
    <w:rsid w:val="004C2992"/>
    <w:rsid w:val="004D143E"/>
    <w:rsid w:val="004D453A"/>
    <w:rsid w:val="004F09DB"/>
    <w:rsid w:val="005314CC"/>
    <w:rsid w:val="00546226"/>
    <w:rsid w:val="0055116C"/>
    <w:rsid w:val="00552C3D"/>
    <w:rsid w:val="0056650E"/>
    <w:rsid w:val="005859DA"/>
    <w:rsid w:val="005A184E"/>
    <w:rsid w:val="005A7DDE"/>
    <w:rsid w:val="005E5E41"/>
    <w:rsid w:val="005E6200"/>
    <w:rsid w:val="005E7360"/>
    <w:rsid w:val="005E780D"/>
    <w:rsid w:val="00607207"/>
    <w:rsid w:val="00633D18"/>
    <w:rsid w:val="0066683C"/>
    <w:rsid w:val="006839A3"/>
    <w:rsid w:val="00684176"/>
    <w:rsid w:val="006961F5"/>
    <w:rsid w:val="006A7574"/>
    <w:rsid w:val="006B0D89"/>
    <w:rsid w:val="006C27C8"/>
    <w:rsid w:val="006E0438"/>
    <w:rsid w:val="006E132E"/>
    <w:rsid w:val="006F4776"/>
    <w:rsid w:val="00702F00"/>
    <w:rsid w:val="00711CF7"/>
    <w:rsid w:val="00720AF7"/>
    <w:rsid w:val="007B1D7C"/>
    <w:rsid w:val="007C6EF2"/>
    <w:rsid w:val="007E41AD"/>
    <w:rsid w:val="008168B5"/>
    <w:rsid w:val="008304F4"/>
    <w:rsid w:val="00861954"/>
    <w:rsid w:val="008744DD"/>
    <w:rsid w:val="008B7185"/>
    <w:rsid w:val="008C18BA"/>
    <w:rsid w:val="008C315E"/>
    <w:rsid w:val="008D00B2"/>
    <w:rsid w:val="008D5586"/>
    <w:rsid w:val="008D7A51"/>
    <w:rsid w:val="008E62ED"/>
    <w:rsid w:val="00903363"/>
    <w:rsid w:val="0094638D"/>
    <w:rsid w:val="00993E42"/>
    <w:rsid w:val="009A474C"/>
    <w:rsid w:val="009B43A3"/>
    <w:rsid w:val="00A20023"/>
    <w:rsid w:val="00A328C6"/>
    <w:rsid w:val="00A465C2"/>
    <w:rsid w:val="00A826BB"/>
    <w:rsid w:val="00A951D5"/>
    <w:rsid w:val="00A9790F"/>
    <w:rsid w:val="00AA64E8"/>
    <w:rsid w:val="00AD46DC"/>
    <w:rsid w:val="00AF06F8"/>
    <w:rsid w:val="00B10D2D"/>
    <w:rsid w:val="00B25FC0"/>
    <w:rsid w:val="00B50CA3"/>
    <w:rsid w:val="00BA197D"/>
    <w:rsid w:val="00BB18D4"/>
    <w:rsid w:val="00BD6019"/>
    <w:rsid w:val="00BE1EBC"/>
    <w:rsid w:val="00BF1C95"/>
    <w:rsid w:val="00BF7106"/>
    <w:rsid w:val="00C06835"/>
    <w:rsid w:val="00C20106"/>
    <w:rsid w:val="00C264C0"/>
    <w:rsid w:val="00C318EE"/>
    <w:rsid w:val="00C34DDB"/>
    <w:rsid w:val="00C634F1"/>
    <w:rsid w:val="00C851D7"/>
    <w:rsid w:val="00CB6C4A"/>
    <w:rsid w:val="00CC37D0"/>
    <w:rsid w:val="00D0150C"/>
    <w:rsid w:val="00D2683D"/>
    <w:rsid w:val="00D318F6"/>
    <w:rsid w:val="00D471F8"/>
    <w:rsid w:val="00D626AE"/>
    <w:rsid w:val="00D65A1E"/>
    <w:rsid w:val="00D6748C"/>
    <w:rsid w:val="00D74657"/>
    <w:rsid w:val="00D8255C"/>
    <w:rsid w:val="00D96321"/>
    <w:rsid w:val="00DA04D9"/>
    <w:rsid w:val="00DD3C7F"/>
    <w:rsid w:val="00DF7DBC"/>
    <w:rsid w:val="00E01B03"/>
    <w:rsid w:val="00E11946"/>
    <w:rsid w:val="00E13BDC"/>
    <w:rsid w:val="00E45326"/>
    <w:rsid w:val="00E60D8F"/>
    <w:rsid w:val="00E75E88"/>
    <w:rsid w:val="00E87737"/>
    <w:rsid w:val="00EA02C3"/>
    <w:rsid w:val="00EB73D2"/>
    <w:rsid w:val="00ED3C3D"/>
    <w:rsid w:val="00F222A6"/>
    <w:rsid w:val="00F27DD0"/>
    <w:rsid w:val="00F37B31"/>
    <w:rsid w:val="00F419F6"/>
    <w:rsid w:val="00F55590"/>
    <w:rsid w:val="00F70485"/>
    <w:rsid w:val="00F75415"/>
    <w:rsid w:val="019E0699"/>
    <w:rsid w:val="084367D4"/>
    <w:rsid w:val="0CAF0367"/>
    <w:rsid w:val="0DA37B36"/>
    <w:rsid w:val="0DAC6FB0"/>
    <w:rsid w:val="0EB577E3"/>
    <w:rsid w:val="10EA1EE2"/>
    <w:rsid w:val="122E4051"/>
    <w:rsid w:val="168F4197"/>
    <w:rsid w:val="1ADD6614"/>
    <w:rsid w:val="1B604AB3"/>
    <w:rsid w:val="1D80285F"/>
    <w:rsid w:val="1DA84CB7"/>
    <w:rsid w:val="1DE5098C"/>
    <w:rsid w:val="21B507AE"/>
    <w:rsid w:val="22F442C0"/>
    <w:rsid w:val="23C860B3"/>
    <w:rsid w:val="253B4663"/>
    <w:rsid w:val="2AE15CAC"/>
    <w:rsid w:val="33DE0FDB"/>
    <w:rsid w:val="34533BB0"/>
    <w:rsid w:val="35A4676A"/>
    <w:rsid w:val="38003C16"/>
    <w:rsid w:val="3B7C0A4A"/>
    <w:rsid w:val="3FAC01DF"/>
    <w:rsid w:val="41120DEB"/>
    <w:rsid w:val="493F60A2"/>
    <w:rsid w:val="4C1B2975"/>
    <w:rsid w:val="4FFE6835"/>
    <w:rsid w:val="501A61F2"/>
    <w:rsid w:val="501C4EC2"/>
    <w:rsid w:val="547F5C42"/>
    <w:rsid w:val="56494582"/>
    <w:rsid w:val="596F4300"/>
    <w:rsid w:val="617129C0"/>
    <w:rsid w:val="623E6F65"/>
    <w:rsid w:val="62455EA3"/>
    <w:rsid w:val="62BF005B"/>
    <w:rsid w:val="6A1004FD"/>
    <w:rsid w:val="6AAE4D43"/>
    <w:rsid w:val="6BB202D7"/>
    <w:rsid w:val="703D1B22"/>
    <w:rsid w:val="757854DE"/>
    <w:rsid w:val="7732010F"/>
    <w:rsid w:val="77E61DC6"/>
    <w:rsid w:val="792D74C3"/>
    <w:rsid w:val="7CE70520"/>
    <w:rsid w:val="7CE945FD"/>
    <w:rsid w:val="7F037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16"/>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semiHidden/>
    <w:unhideWhenUsed/>
    <w:qFormat/>
    <w:uiPriority w:val="99"/>
    <w:pPr>
      <w:jc w:val="left"/>
    </w:pPr>
  </w:style>
  <w:style w:type="paragraph" w:styleId="4">
    <w:name w:val="Balloon Text"/>
    <w:basedOn w:val="1"/>
    <w:link w:val="13"/>
    <w:semiHidden/>
    <w:unhideWhenUsed/>
    <w:qFormat/>
    <w:uiPriority w:val="99"/>
    <w:rPr>
      <w:sz w:val="18"/>
      <w:szCs w:val="18"/>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3"/>
    <w:next w:val="3"/>
    <w:link w:val="15"/>
    <w:semiHidden/>
    <w:unhideWhenUsed/>
    <w:qFormat/>
    <w:uiPriority w:val="99"/>
    <w:rPr>
      <w:b/>
      <w:bCs/>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character" w:styleId="12">
    <w:name w:val="annotation reference"/>
    <w:basedOn w:val="10"/>
    <w:semiHidden/>
    <w:unhideWhenUsed/>
    <w:qFormat/>
    <w:uiPriority w:val="99"/>
    <w:rPr>
      <w:sz w:val="21"/>
      <w:szCs w:val="21"/>
    </w:rPr>
  </w:style>
  <w:style w:type="character" w:customStyle="1" w:styleId="13">
    <w:name w:val="批注框文本 字符"/>
    <w:basedOn w:val="10"/>
    <w:link w:val="4"/>
    <w:semiHidden/>
    <w:qFormat/>
    <w:uiPriority w:val="99"/>
    <w:rPr>
      <w:rFonts w:asciiTheme="minorHAnsi" w:hAnsiTheme="minorHAnsi" w:eastAsiaTheme="minorEastAsia" w:cstheme="minorBidi"/>
      <w:kern w:val="2"/>
      <w:sz w:val="18"/>
      <w:szCs w:val="18"/>
    </w:rPr>
  </w:style>
  <w:style w:type="character" w:customStyle="1" w:styleId="14">
    <w:name w:val="批注文字 字符"/>
    <w:basedOn w:val="10"/>
    <w:link w:val="3"/>
    <w:semiHidden/>
    <w:qFormat/>
    <w:uiPriority w:val="99"/>
    <w:rPr>
      <w:rFonts w:asciiTheme="minorHAnsi" w:hAnsiTheme="minorHAnsi" w:eastAsiaTheme="minorEastAsia" w:cstheme="minorBidi"/>
      <w:kern w:val="2"/>
      <w:sz w:val="21"/>
      <w:szCs w:val="22"/>
    </w:rPr>
  </w:style>
  <w:style w:type="character" w:customStyle="1" w:styleId="15">
    <w:name w:val="批注主题 字符"/>
    <w:basedOn w:val="14"/>
    <w:link w:val="7"/>
    <w:semiHidden/>
    <w:qFormat/>
    <w:uiPriority w:val="99"/>
    <w:rPr>
      <w:rFonts w:asciiTheme="minorHAnsi" w:hAnsiTheme="minorHAnsi" w:eastAsiaTheme="minorEastAsia" w:cstheme="minorBidi"/>
      <w:b/>
      <w:bCs/>
      <w:kern w:val="2"/>
      <w:sz w:val="21"/>
      <w:szCs w:val="22"/>
    </w:rPr>
  </w:style>
  <w:style w:type="character" w:customStyle="1" w:styleId="16">
    <w:name w:val="标题 2 字符"/>
    <w:basedOn w:val="10"/>
    <w:link w:val="2"/>
    <w:qFormat/>
    <w:uiPriority w:val="9"/>
    <w:rPr>
      <w:rFonts w:ascii="宋体" w:hAnsi="宋体" w:cs="宋体"/>
      <w:b/>
      <w:bCs/>
      <w:sz w:val="36"/>
      <w:szCs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2326</Words>
  <Characters>2477</Characters>
  <Lines>18</Lines>
  <Paragraphs>5</Paragraphs>
  <TotalTime>1</TotalTime>
  <ScaleCrop>false</ScaleCrop>
  <LinksUpToDate>false</LinksUpToDate>
  <CharactersWithSpaces>2495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2023-05-17T12:52:00Z</dcterms:created>
  <dc:creator>admin</dc:creator>
  <cp:lastModifiedBy>蓉</cp:lastModifiedBy>
  <dcterms:modified xsi:type="dcterms:W3CDTF">2025-12-04T00:17:57Z</dcterms:modified>
  <cp:revision>183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7A1B52318B0B464596B2450723491C0F_13</vt:lpwstr>
  </property>
  <property fmtid="{D5CDD505-2E9C-101B-9397-08002B2CF9AE}" pid="4" name="KSOTemplateDocerSaveRecord">
    <vt:lpwstr>eyJoZGlkIjoiNmIwNTgyYWY2MmFkZjY4MTU0NGU0YTEwZmQwZGRkZDAiLCJ1c2VySWQiOiI0ODA4NDc2MTYifQ==</vt:lpwstr>
  </property>
</Properties>
</file>